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71B" w14:textId="2EA5DCDE" w:rsidR="00CF4615" w:rsidRDefault="00CF4615" w:rsidP="0082314F">
      <w:pPr>
        <w:jc w:val="right"/>
        <w:rPr>
          <w:lang w:val="fr-BE"/>
        </w:rPr>
      </w:pPr>
    </w:p>
    <w:p w14:paraId="3E74DEE2" w14:textId="3E482687" w:rsidR="00FA5651" w:rsidRPr="00C93D7E" w:rsidRDefault="00B125AB" w:rsidP="008B1926">
      <w:pPr>
        <w:pStyle w:val="Title"/>
        <w:jc w:val="center"/>
        <w:rPr>
          <w:rFonts w:cs="Tahoma"/>
          <w:sz w:val="28"/>
          <w:szCs w:val="28"/>
          <w:lang w:val="fr-BE"/>
        </w:rPr>
      </w:pPr>
      <w:bookmarkStart w:id="0" w:name="_Toc56792568"/>
      <w:r w:rsidRPr="00C93D7E">
        <w:rPr>
          <w:rFonts w:cs="Tahoma"/>
          <w:sz w:val="28"/>
          <w:szCs w:val="28"/>
          <w:lang w:val="fr-BE"/>
        </w:rPr>
        <w:t xml:space="preserve">Version coordonnée de </w:t>
      </w:r>
      <w:r w:rsidR="00C93D7E" w:rsidRPr="00C93D7E">
        <w:rPr>
          <w:rFonts w:eastAsia="Times New Roman" w:cs="Tahoma"/>
          <w:snapToGrid w:val="0"/>
          <w:spacing w:val="-3"/>
          <w:sz w:val="28"/>
          <w:szCs w:val="28"/>
          <w:lang w:val="fr-FR"/>
        </w:rPr>
        <w:t>la loi du 5 août 1992 sur la fonction de police</w:t>
      </w:r>
      <w:r w:rsidR="00C93D7E" w:rsidRPr="00C93D7E">
        <w:rPr>
          <w:rFonts w:cs="Tahoma"/>
          <w:sz w:val="28"/>
          <w:szCs w:val="28"/>
          <w:lang w:val="fr-BE"/>
        </w:rPr>
        <w:t xml:space="preserve"> </w:t>
      </w:r>
      <w:r w:rsidR="00065173" w:rsidRPr="00C93D7E">
        <w:rPr>
          <w:rFonts w:cs="Tahoma"/>
          <w:sz w:val="28"/>
          <w:szCs w:val="28"/>
          <w:lang w:val="fr-BE"/>
        </w:rPr>
        <w:t xml:space="preserve">(chapitre </w:t>
      </w:r>
      <w:r w:rsidR="00C93D7E" w:rsidRPr="00C93D7E">
        <w:rPr>
          <w:rFonts w:cs="Tahoma"/>
          <w:sz w:val="28"/>
          <w:szCs w:val="28"/>
          <w:lang w:val="fr-BE"/>
        </w:rPr>
        <w:t>5</w:t>
      </w:r>
      <w:r w:rsidR="00065173" w:rsidRPr="00C93D7E">
        <w:rPr>
          <w:rFonts w:cs="Tahoma"/>
          <w:sz w:val="28"/>
          <w:szCs w:val="28"/>
          <w:lang w:val="fr-BE"/>
        </w:rPr>
        <w:t xml:space="preserve"> du dispositif) </w:t>
      </w:r>
    </w:p>
    <w:p w14:paraId="60396532" w14:textId="278B2485" w:rsidR="008B1926" w:rsidRDefault="00B125AB" w:rsidP="008B1926">
      <w:pPr>
        <w:pStyle w:val="Title"/>
        <w:jc w:val="center"/>
        <w:rPr>
          <w:rFonts w:cs="Tahoma"/>
          <w:sz w:val="28"/>
          <w:szCs w:val="28"/>
          <w:lang w:val="nl-BE"/>
        </w:rPr>
      </w:pPr>
      <w:r w:rsidRPr="00C93D7E">
        <w:rPr>
          <w:rFonts w:cs="Tahoma"/>
          <w:sz w:val="28"/>
          <w:szCs w:val="28"/>
          <w:lang w:val="nl-BE"/>
        </w:rPr>
        <w:t xml:space="preserve">Gecoördineerde versie van </w:t>
      </w:r>
      <w:r w:rsidR="00C93D7E" w:rsidRPr="00C93D7E">
        <w:rPr>
          <w:rFonts w:eastAsia="Times New Roman" w:cs="Tahoma"/>
          <w:snapToGrid w:val="0"/>
          <w:spacing w:val="-3"/>
          <w:sz w:val="28"/>
          <w:szCs w:val="28"/>
          <w:lang w:val="nl-NL"/>
        </w:rPr>
        <w:t>de wet van 5 augustus 1992 op het politieambt</w:t>
      </w:r>
      <w:r w:rsidR="00C93D7E" w:rsidRPr="00C93D7E">
        <w:rPr>
          <w:rFonts w:cs="Tahoma"/>
          <w:sz w:val="28"/>
          <w:szCs w:val="28"/>
          <w:lang w:val="nl-BE"/>
        </w:rPr>
        <w:t xml:space="preserve"> </w:t>
      </w:r>
      <w:bookmarkEnd w:id="0"/>
      <w:r w:rsidR="00065173" w:rsidRPr="00C93D7E">
        <w:rPr>
          <w:rFonts w:cs="Tahoma"/>
          <w:sz w:val="28"/>
          <w:szCs w:val="28"/>
          <w:lang w:val="nl-BE"/>
        </w:rPr>
        <w:t xml:space="preserve">(hoofdstuk </w:t>
      </w:r>
      <w:r w:rsidR="00C93D7E" w:rsidRPr="00C93D7E">
        <w:rPr>
          <w:rFonts w:cs="Tahoma"/>
          <w:sz w:val="28"/>
          <w:szCs w:val="28"/>
          <w:lang w:val="nl-BE"/>
        </w:rPr>
        <w:t>5</w:t>
      </w:r>
      <w:r w:rsidR="00065173" w:rsidRPr="00C93D7E">
        <w:rPr>
          <w:rFonts w:cs="Tahoma"/>
          <w:sz w:val="28"/>
          <w:szCs w:val="28"/>
          <w:lang w:val="nl-BE"/>
        </w:rPr>
        <w:t xml:space="preserve"> van het dispositief)</w:t>
      </w:r>
    </w:p>
    <w:p w14:paraId="2004C71A" w14:textId="77777777" w:rsidR="00C93D7E" w:rsidRPr="00C93D7E" w:rsidRDefault="00C93D7E" w:rsidP="00C93D7E">
      <w:pPr>
        <w:rPr>
          <w:lang w:val="nl-BE"/>
        </w:rPr>
      </w:pPr>
    </w:p>
    <w:tbl>
      <w:tblPr>
        <w:tblStyle w:val="TableGrid"/>
        <w:tblW w:w="0" w:type="auto"/>
        <w:tblLook w:val="04A0" w:firstRow="1" w:lastRow="0" w:firstColumn="1" w:lastColumn="0" w:noHBand="0" w:noVBand="1"/>
      </w:tblPr>
      <w:tblGrid>
        <w:gridCol w:w="4408"/>
        <w:gridCol w:w="4608"/>
      </w:tblGrid>
      <w:tr w:rsidR="00A121BC" w14:paraId="15C46212" w14:textId="77777777" w:rsidTr="00C93D7E">
        <w:tc>
          <w:tcPr>
            <w:tcW w:w="4408" w:type="dxa"/>
            <w:shd w:val="clear" w:color="auto" w:fill="D9D9D9" w:themeFill="background1" w:themeFillShade="D9"/>
          </w:tcPr>
          <w:p w14:paraId="22DE4BEC" w14:textId="3B9D0446" w:rsidR="00A121BC" w:rsidRDefault="002A1C14" w:rsidP="00A121BC">
            <w:pPr>
              <w:jc w:val="center"/>
            </w:pPr>
            <w:r>
              <w:t>Explication</w:t>
            </w:r>
          </w:p>
        </w:tc>
        <w:tc>
          <w:tcPr>
            <w:tcW w:w="4608" w:type="dxa"/>
            <w:shd w:val="clear" w:color="auto" w:fill="D9D9D9" w:themeFill="background1" w:themeFillShade="D9"/>
          </w:tcPr>
          <w:p w14:paraId="45137034" w14:textId="1902B30D" w:rsidR="00A121BC" w:rsidRDefault="002A1C14" w:rsidP="00A121BC">
            <w:pPr>
              <w:jc w:val="center"/>
            </w:pPr>
            <w:proofErr w:type="spellStart"/>
            <w:r>
              <w:t>Uitleg</w:t>
            </w:r>
            <w:proofErr w:type="spellEnd"/>
            <w:r>
              <w:t xml:space="preserve"> </w:t>
            </w:r>
          </w:p>
        </w:tc>
      </w:tr>
      <w:tr w:rsidR="00A121BC" w:rsidRPr="00C93D7E" w14:paraId="44F1D1AC" w14:textId="77777777" w:rsidTr="00C93D7E">
        <w:tc>
          <w:tcPr>
            <w:tcW w:w="4408" w:type="dxa"/>
          </w:tcPr>
          <w:p w14:paraId="4D32BDEE" w14:textId="6B3E9C52" w:rsidR="00A121BC" w:rsidRPr="00D32344" w:rsidRDefault="00A121BC" w:rsidP="00B005CC">
            <w:pPr>
              <w:pStyle w:val="NoSpacing"/>
            </w:pPr>
            <w:r w:rsidRPr="00E41874">
              <w:t xml:space="preserve">En </w:t>
            </w:r>
            <w:r w:rsidRPr="00E41874">
              <w:rPr>
                <w:highlight w:val="yellow"/>
              </w:rPr>
              <w:t>jaune</w:t>
            </w:r>
            <w:r w:rsidRPr="00E41874">
              <w:t>, les modifications envisagées</w:t>
            </w:r>
            <w:r w:rsidR="00B005CC">
              <w:t xml:space="preserve"> dans l’a</w:t>
            </w:r>
            <w:r w:rsidR="00B005CC" w:rsidRPr="00B005CC">
              <w:t xml:space="preserve">vant-projet de loi </w:t>
            </w:r>
            <w:r w:rsidR="00B125AB">
              <w:t>« </w:t>
            </w:r>
            <w:r w:rsidR="00B005CC" w:rsidRPr="00B005CC">
              <w:t>conservation des données</w:t>
            </w:r>
            <w:r w:rsidR="00B125AB">
              <w:t> »</w:t>
            </w:r>
            <w:r>
              <w:t xml:space="preserve">. </w:t>
            </w:r>
            <w:r w:rsidRPr="00E41874">
              <w:t xml:space="preserve"> </w:t>
            </w:r>
          </w:p>
        </w:tc>
        <w:tc>
          <w:tcPr>
            <w:tcW w:w="4608" w:type="dxa"/>
          </w:tcPr>
          <w:p w14:paraId="2EAD2F06" w14:textId="44ADC0FA" w:rsidR="00A121BC" w:rsidRPr="00A121BC" w:rsidRDefault="00A121BC" w:rsidP="00B005CC">
            <w:pPr>
              <w:pStyle w:val="NoSpacing"/>
              <w:rPr>
                <w:lang w:val="nl-BE"/>
              </w:rPr>
            </w:pPr>
            <w:r w:rsidRPr="008E59BA">
              <w:rPr>
                <w:lang w:val="nl-BE"/>
              </w:rPr>
              <w:t xml:space="preserve">In het </w:t>
            </w:r>
            <w:r w:rsidRPr="008E59BA">
              <w:rPr>
                <w:highlight w:val="yellow"/>
                <w:lang w:val="nl-BE"/>
              </w:rPr>
              <w:t>geel</w:t>
            </w:r>
            <w:r w:rsidRPr="008E59BA">
              <w:rPr>
                <w:lang w:val="nl-BE"/>
              </w:rPr>
              <w:t xml:space="preserve"> de wijzigingen </w:t>
            </w:r>
            <w:r w:rsidRPr="00B005CC">
              <w:rPr>
                <w:szCs w:val="20"/>
                <w:lang w:val="nl-BE"/>
              </w:rPr>
              <w:t xml:space="preserve">beoogd </w:t>
            </w:r>
            <w:r w:rsidR="00B005CC" w:rsidRPr="00B005CC">
              <w:rPr>
                <w:szCs w:val="20"/>
                <w:lang w:val="nl-BE"/>
              </w:rPr>
              <w:t xml:space="preserve">in het voorontwerp van wet </w:t>
            </w:r>
            <w:r w:rsidR="00B125AB">
              <w:rPr>
                <w:szCs w:val="20"/>
                <w:lang w:val="nl-BE"/>
              </w:rPr>
              <w:t>“</w:t>
            </w:r>
            <w:r w:rsidR="00B005CC" w:rsidRPr="00B005CC">
              <w:rPr>
                <w:szCs w:val="20"/>
                <w:lang w:val="nl-BE"/>
              </w:rPr>
              <w:t>gegevensbewaring</w:t>
            </w:r>
            <w:r w:rsidR="00B125AB">
              <w:rPr>
                <w:szCs w:val="20"/>
                <w:lang w:val="nl-BE"/>
              </w:rPr>
              <w:t>”</w:t>
            </w:r>
            <w:r w:rsidR="00B005CC" w:rsidRPr="00B005CC">
              <w:rPr>
                <w:szCs w:val="20"/>
                <w:lang w:val="nl-BE"/>
              </w:rPr>
              <w:t>.</w:t>
            </w:r>
            <w:r>
              <w:rPr>
                <w:lang w:val="nl-BE"/>
              </w:rPr>
              <w:t xml:space="preserve"> </w:t>
            </w:r>
          </w:p>
        </w:tc>
      </w:tr>
      <w:tr w:rsidR="00A121BC" w:rsidRPr="00C93D7E" w14:paraId="4B7C54C7" w14:textId="77777777" w:rsidTr="00C93D7E">
        <w:tc>
          <w:tcPr>
            <w:tcW w:w="4408" w:type="dxa"/>
          </w:tcPr>
          <w:p w14:paraId="15618A36" w14:textId="23FEC870" w:rsidR="00A121BC" w:rsidRPr="00D32344" w:rsidRDefault="00A121BC" w:rsidP="000E00D5">
            <w:pPr>
              <w:pStyle w:val="NoSpacing"/>
            </w:pPr>
            <w:r w:rsidRPr="00E41874">
              <w:t>Ce qui est ajouté est surligné (</w:t>
            </w:r>
            <w:r w:rsidRPr="00E41874">
              <w:rPr>
                <w:u w:val="single"/>
              </w:rPr>
              <w:t>XXX</w:t>
            </w:r>
            <w:r w:rsidRPr="00E41874">
              <w:t>) et ce qui est supprimé est barré (</w:t>
            </w:r>
            <w:r w:rsidRPr="00E41874">
              <w:rPr>
                <w:strike/>
              </w:rPr>
              <w:t>XXX</w:t>
            </w:r>
            <w:r w:rsidRPr="00E41874">
              <w:t xml:space="preserve">). </w:t>
            </w:r>
          </w:p>
        </w:tc>
        <w:tc>
          <w:tcPr>
            <w:tcW w:w="4608" w:type="dxa"/>
          </w:tcPr>
          <w:p w14:paraId="59FFF58F" w14:textId="01A80B23" w:rsidR="00A121BC" w:rsidRPr="00A121BC" w:rsidRDefault="00A121BC" w:rsidP="00FA4321">
            <w:pPr>
              <w:pStyle w:val="NoSpacing"/>
              <w:rPr>
                <w:lang w:val="nl-BE"/>
              </w:rPr>
            </w:pPr>
            <w:r w:rsidRPr="008E59BA">
              <w:rPr>
                <w:lang w:val="nl-BE"/>
              </w:rPr>
              <w:t>Toevoegingen zijn onderstreept (</w:t>
            </w:r>
            <w:r w:rsidRPr="008E59BA">
              <w:rPr>
                <w:u w:val="single"/>
                <w:lang w:val="nl-BE"/>
              </w:rPr>
              <w:t>XXX</w:t>
            </w:r>
            <w:r w:rsidRPr="008E59BA">
              <w:rPr>
                <w:lang w:val="nl-BE"/>
              </w:rPr>
              <w:t>) en opheffingen zijn doorgehaald (</w:t>
            </w:r>
            <w:r w:rsidRPr="008E59BA">
              <w:rPr>
                <w:strike/>
                <w:lang w:val="nl-BE"/>
              </w:rPr>
              <w:t>XXX</w:t>
            </w:r>
            <w:r w:rsidRPr="008E59BA">
              <w:rPr>
                <w:lang w:val="nl-BE"/>
              </w:rPr>
              <w:t xml:space="preserve">). </w:t>
            </w:r>
          </w:p>
        </w:tc>
      </w:tr>
    </w:tbl>
    <w:p w14:paraId="28F3885D" w14:textId="74CB6254" w:rsidR="00B42EB4" w:rsidRPr="00065173" w:rsidRDefault="00B42EB4" w:rsidP="00C93D7E">
      <w:pPr>
        <w:pStyle w:val="BIPTHeading1"/>
        <w:numPr>
          <w:ilvl w:val="0"/>
          <w:numId w:val="0"/>
        </w:numPr>
        <w:ind w:left="851"/>
      </w:pPr>
    </w:p>
    <w:tbl>
      <w:tblPr>
        <w:tblStyle w:val="TableGrid"/>
        <w:tblW w:w="5000" w:type="pct"/>
        <w:tblLayout w:type="fixed"/>
        <w:tblLook w:val="04A0" w:firstRow="1" w:lastRow="0" w:firstColumn="1" w:lastColumn="0" w:noHBand="0" w:noVBand="1"/>
      </w:tblPr>
      <w:tblGrid>
        <w:gridCol w:w="4508"/>
        <w:gridCol w:w="4508"/>
      </w:tblGrid>
      <w:tr w:rsidR="00C93D7E" w:rsidRPr="00C93D7E" w14:paraId="6679B579" w14:textId="77777777" w:rsidTr="000E00D5">
        <w:tc>
          <w:tcPr>
            <w:tcW w:w="2500" w:type="pct"/>
          </w:tcPr>
          <w:p w14:paraId="7878BF67" w14:textId="4E39AA11" w:rsidR="00C93D7E" w:rsidRPr="00C93D7E" w:rsidRDefault="00C93D7E" w:rsidP="00C93D7E">
            <w:pPr>
              <w:jc w:val="center"/>
              <w:rPr>
                <w:b/>
                <w:bCs/>
              </w:rPr>
            </w:pPr>
            <w:r w:rsidRPr="00C93D7E">
              <w:rPr>
                <w:b/>
                <w:bCs/>
              </w:rPr>
              <w:t>Art. 42 (art. 1</w:t>
            </w:r>
            <w:r>
              <w:rPr>
                <w:b/>
                <w:bCs/>
              </w:rPr>
              <w:t>9</w:t>
            </w:r>
            <w:r w:rsidRPr="00C93D7E">
              <w:rPr>
                <w:b/>
                <w:bCs/>
              </w:rPr>
              <w:t xml:space="preserve"> du dispositif)</w:t>
            </w:r>
          </w:p>
        </w:tc>
        <w:tc>
          <w:tcPr>
            <w:tcW w:w="2500" w:type="pct"/>
          </w:tcPr>
          <w:p w14:paraId="4B53BCAA" w14:textId="3F983BC4" w:rsidR="00C93D7E" w:rsidRPr="00C93D7E" w:rsidRDefault="00C93D7E" w:rsidP="00C93D7E">
            <w:pPr>
              <w:jc w:val="center"/>
              <w:rPr>
                <w:b/>
                <w:bCs/>
                <w:lang w:val="nl-BE"/>
              </w:rPr>
            </w:pPr>
            <w:r w:rsidRPr="00C93D7E">
              <w:rPr>
                <w:b/>
                <w:bCs/>
                <w:lang w:val="nl-BE"/>
              </w:rPr>
              <w:t>Art. 42 (art. 1</w:t>
            </w:r>
            <w:r>
              <w:rPr>
                <w:b/>
                <w:bCs/>
                <w:lang w:val="nl-BE"/>
              </w:rPr>
              <w:t>9</w:t>
            </w:r>
            <w:r w:rsidRPr="00C93D7E">
              <w:rPr>
                <w:b/>
                <w:bCs/>
                <w:lang w:val="nl-BE"/>
              </w:rPr>
              <w:t xml:space="preserve"> van het dispositief)</w:t>
            </w:r>
          </w:p>
        </w:tc>
      </w:tr>
      <w:tr w:rsidR="000E00D5" w:rsidRPr="00C93D7E" w14:paraId="0D39895A" w14:textId="77777777" w:rsidTr="000E00D5">
        <w:tc>
          <w:tcPr>
            <w:tcW w:w="2500" w:type="pct"/>
          </w:tcPr>
          <w:p w14:paraId="5C2C36E6" w14:textId="2BFF7216" w:rsidR="000E00D5" w:rsidRPr="002A1C14" w:rsidRDefault="00C93D7E" w:rsidP="00007C85">
            <w:pPr>
              <w:jc w:val="both"/>
              <w:rPr>
                <w:rFonts w:cstheme="minorHAnsi"/>
                <w:color w:val="000000" w:themeColor="text1"/>
                <w:lang w:val="fr-FR"/>
              </w:rPr>
            </w:pPr>
            <w:r w:rsidRPr="002A1C14">
              <w:rPr>
                <w:rFonts w:ascii="Arial" w:hAnsi="Arial" w:cs="Arial"/>
                <w:b/>
                <w:bCs/>
                <w:highlight w:val="yellow"/>
                <w:u w:val="single"/>
                <w:lang w:val="fr-FR"/>
              </w:rPr>
              <w:t>§1</w:t>
            </w:r>
            <w:r w:rsidRPr="002A1C14">
              <w:rPr>
                <w:rFonts w:ascii="Arial" w:hAnsi="Arial" w:cs="Arial"/>
                <w:b/>
                <w:bCs/>
                <w:highlight w:val="yellow"/>
                <w:u w:val="single"/>
                <w:vertAlign w:val="superscript"/>
                <w:lang w:val="fr-FR"/>
              </w:rPr>
              <w:t>er</w:t>
            </w:r>
            <w:r w:rsidR="002A1C14" w:rsidRPr="002A1C14">
              <w:rPr>
                <w:rFonts w:ascii="Arial" w:hAnsi="Arial" w:cs="Arial"/>
                <w:b/>
                <w:bCs/>
                <w:highlight w:val="yellow"/>
                <w:u w:val="single"/>
                <w:lang w:val="fr-FR"/>
              </w:rPr>
              <w:t>.</w:t>
            </w:r>
            <w:r w:rsidR="002A1C14" w:rsidRPr="002A1C14">
              <w:rPr>
                <w:rFonts w:ascii="Arial" w:hAnsi="Arial" w:cs="Arial"/>
                <w:lang w:val="fr-FR"/>
              </w:rPr>
              <w:t xml:space="preserve"> </w:t>
            </w:r>
            <w:r w:rsidRPr="002A1C14">
              <w:t>Lorsqu'il est mis en danger dans l'exercice de sa mission ou lorsque des personnes sont en danger, tout membre du cadre opérationnel peut requérir l'aide ou l'assistance des personnes présentes sur place. En cas d'absolue nécessité, il peut de même requérir l'aide ou l'assistance de toute autre personne utile.</w:t>
            </w:r>
            <w:r w:rsidRPr="002A1C14">
              <w:br/>
              <w:t>  L'aide ou l'assistance requise ne peut mettre en danger la personne qui la prête.</w:t>
            </w:r>
          </w:p>
        </w:tc>
        <w:tc>
          <w:tcPr>
            <w:tcW w:w="2500" w:type="pct"/>
          </w:tcPr>
          <w:p w14:paraId="27430460" w14:textId="676B7786" w:rsidR="000E00D5" w:rsidRPr="002A1C14" w:rsidRDefault="00C93D7E" w:rsidP="00007C85">
            <w:pPr>
              <w:jc w:val="both"/>
              <w:rPr>
                <w:rFonts w:cstheme="minorHAnsi"/>
                <w:color w:val="000000" w:themeColor="text1"/>
                <w:lang w:val="nl-BE"/>
              </w:rPr>
            </w:pPr>
            <w:r w:rsidRPr="002A1C14">
              <w:rPr>
                <w:rFonts w:ascii="Arial" w:hAnsi="Arial" w:cs="Arial"/>
                <w:b/>
                <w:bCs/>
                <w:highlight w:val="yellow"/>
                <w:u w:val="single"/>
                <w:lang w:val="nl-BE"/>
              </w:rPr>
              <w:t>§1</w:t>
            </w:r>
            <w:r w:rsidR="002A1C14" w:rsidRPr="002A1C14">
              <w:rPr>
                <w:rFonts w:ascii="Arial" w:hAnsi="Arial" w:cs="Arial"/>
                <w:b/>
                <w:bCs/>
                <w:highlight w:val="yellow"/>
                <w:u w:val="single"/>
                <w:lang w:val="nl-BE"/>
              </w:rPr>
              <w:t>.</w:t>
            </w:r>
            <w:r w:rsidRPr="002A1C14">
              <w:rPr>
                <w:rFonts w:ascii="Arial" w:hAnsi="Arial" w:cs="Arial"/>
                <w:lang w:val="nl-BE"/>
              </w:rPr>
              <w:t xml:space="preserve"> </w:t>
            </w:r>
            <w:r w:rsidRPr="002A1C14">
              <w:rPr>
                <w:lang w:val="nl-BE"/>
              </w:rPr>
              <w:t>Wanneer hij in gevaar gebracht wordt bij het vervullen van zijn opdracht of wanneer personen in gevaar zijn, kan ieder lid van het operationeel kader de hulp of bijstand vorderen van de ter plaatse aanwezige personen en in geval van absolute noodzaak kan hij eveneens de hulp of bijstand vorderen van enig ander nuttig persoon.</w:t>
            </w:r>
            <w:r w:rsidRPr="002A1C14">
              <w:rPr>
                <w:lang w:val="nl-BE"/>
              </w:rPr>
              <w:br/>
              <w:t>  De gevorderde hulp of bijstand mag de persoon die ze verleent niet in gevaar brengen.</w:t>
            </w:r>
          </w:p>
        </w:tc>
      </w:tr>
      <w:tr w:rsidR="00C93D7E" w:rsidRPr="00C93D7E" w14:paraId="162BE88F" w14:textId="77777777" w:rsidTr="000E00D5">
        <w:tc>
          <w:tcPr>
            <w:tcW w:w="2500" w:type="pct"/>
          </w:tcPr>
          <w:p w14:paraId="425D91F0" w14:textId="77777777" w:rsidR="00C93D7E" w:rsidRPr="00C93D7E" w:rsidRDefault="00C93D7E" w:rsidP="00007C85">
            <w:pPr>
              <w:jc w:val="both"/>
              <w:rPr>
                <w:rFonts w:ascii="Arial" w:hAnsi="Arial" w:cs="Arial"/>
                <w:highlight w:val="yellow"/>
                <w:u w:val="single"/>
                <w:lang w:val="fr-FR"/>
              </w:rPr>
            </w:pPr>
          </w:p>
        </w:tc>
        <w:tc>
          <w:tcPr>
            <w:tcW w:w="2500" w:type="pct"/>
          </w:tcPr>
          <w:p w14:paraId="1AB468F9" w14:textId="77777777" w:rsidR="00C93D7E" w:rsidRPr="00C93D7E" w:rsidRDefault="00C93D7E" w:rsidP="00007C85">
            <w:pPr>
              <w:jc w:val="both"/>
              <w:rPr>
                <w:rFonts w:ascii="Arial" w:hAnsi="Arial" w:cs="Arial"/>
                <w:highlight w:val="yellow"/>
                <w:u w:val="single"/>
                <w:lang w:val="nl-BE"/>
              </w:rPr>
            </w:pPr>
          </w:p>
        </w:tc>
      </w:tr>
      <w:tr w:rsidR="00C93D7E" w:rsidRPr="00C93D7E" w14:paraId="7BF3ACFD" w14:textId="70B8DF3C" w:rsidTr="000E00D5">
        <w:tc>
          <w:tcPr>
            <w:tcW w:w="2500" w:type="pct"/>
          </w:tcPr>
          <w:p w14:paraId="5F87CCA3" w14:textId="732A20C2" w:rsidR="00C93D7E" w:rsidRPr="002A1C14" w:rsidRDefault="00C93D7E" w:rsidP="002A1C14">
            <w:pPr>
              <w:tabs>
                <w:tab w:val="left" w:pos="490"/>
              </w:tabs>
              <w:jc w:val="both"/>
              <w:rPr>
                <w:rFonts w:cstheme="minorHAnsi"/>
                <w:color w:val="000000" w:themeColor="text1"/>
                <w:highlight w:val="yellow"/>
                <w:u w:val="single"/>
              </w:rPr>
            </w:pPr>
            <w:r w:rsidRPr="002A1C14">
              <w:rPr>
                <w:rFonts w:ascii="Arial" w:hAnsi="Arial" w:cs="Arial"/>
                <w:b/>
                <w:bCs/>
                <w:highlight w:val="yellow"/>
                <w:u w:val="single"/>
                <w:lang w:val="fr-FR"/>
              </w:rPr>
              <w:t>§ 2.</w:t>
            </w:r>
            <w:r w:rsidRPr="002A1C14">
              <w:rPr>
                <w:rFonts w:ascii="Arial" w:hAnsi="Arial" w:cs="Arial"/>
                <w:highlight w:val="yellow"/>
                <w:u w:val="single"/>
                <w:lang w:val="fr-FR"/>
              </w:rPr>
              <w:t xml:space="preserve"> Un officier de police judiciaire de la Cellule des Personnes Disparues de la police fédérale peut, dans le cadre de sa mission d'assistance à personne en danger et de recherche de personnes dont la disparition est inquiétante, et lorsqu'il existe des présomptions ou indices sérieux que l'intégrité physique de la personne disparue se trouve en danger imminent, requérir d’obtenir les données relatives aux communications électroniques concernant la personne disparue.</w:t>
            </w:r>
          </w:p>
        </w:tc>
        <w:tc>
          <w:tcPr>
            <w:tcW w:w="2500" w:type="pct"/>
          </w:tcPr>
          <w:p w14:paraId="77C2819F" w14:textId="32379CBA" w:rsidR="00C93D7E" w:rsidRPr="002A1C14" w:rsidRDefault="00C93D7E" w:rsidP="002A1C14">
            <w:pPr>
              <w:jc w:val="both"/>
              <w:rPr>
                <w:rFonts w:cstheme="minorHAnsi"/>
                <w:color w:val="000000" w:themeColor="text1"/>
                <w:highlight w:val="yellow"/>
                <w:u w:val="single"/>
                <w:lang w:val="nl-BE"/>
              </w:rPr>
            </w:pPr>
            <w:r w:rsidRPr="002A1C14">
              <w:rPr>
                <w:rFonts w:ascii="Arial" w:hAnsi="Arial" w:cs="Arial"/>
                <w:b/>
                <w:bCs/>
                <w:highlight w:val="yellow"/>
                <w:u w:val="single"/>
                <w:lang w:val="nl-BE"/>
              </w:rPr>
              <w:t>§ 2.</w:t>
            </w:r>
            <w:r w:rsidRPr="002A1C14">
              <w:rPr>
                <w:rFonts w:ascii="Arial" w:hAnsi="Arial" w:cs="Arial"/>
                <w:highlight w:val="yellow"/>
                <w:u w:val="single"/>
                <w:lang w:val="nl-BE"/>
              </w:rPr>
              <w:t xml:space="preserve"> Een officier van gerechtelijke politie van de Cel Vermiste Personen van de federale politie kan, in het kader van zijn opdracht tot het verlenen van hulp aan personen in nood en de opsporing van personen van wie de verdwijning onrustwekkend is, en wanneer er ernstige vermoedens of aanwijzingen bestaan dat de fysieke integriteit van de vermiste persoon in onmiddellijk gevaar is, gegevens met betrekking tot de elektronische communicatie betreffende de vermiste persoon opvorderen. </w:t>
            </w:r>
          </w:p>
        </w:tc>
      </w:tr>
      <w:tr w:rsidR="00C93D7E" w:rsidRPr="00C93D7E" w14:paraId="129F433F" w14:textId="77777777" w:rsidTr="000E00D5">
        <w:tc>
          <w:tcPr>
            <w:tcW w:w="2500" w:type="pct"/>
          </w:tcPr>
          <w:p w14:paraId="587AB15E" w14:textId="77777777" w:rsidR="00C93D7E" w:rsidRPr="002A1C14" w:rsidRDefault="00C93D7E" w:rsidP="00C93D7E">
            <w:pPr>
              <w:tabs>
                <w:tab w:val="left" w:pos="490"/>
              </w:tabs>
              <w:rPr>
                <w:rFonts w:ascii="Arial" w:hAnsi="Arial" w:cs="Arial"/>
                <w:highlight w:val="yellow"/>
                <w:u w:val="single"/>
                <w:lang w:val="fr-FR"/>
              </w:rPr>
            </w:pPr>
          </w:p>
        </w:tc>
        <w:tc>
          <w:tcPr>
            <w:tcW w:w="2500" w:type="pct"/>
          </w:tcPr>
          <w:p w14:paraId="75F3520A" w14:textId="77777777" w:rsidR="00C93D7E" w:rsidRPr="002A1C14" w:rsidRDefault="00C93D7E" w:rsidP="00C93D7E">
            <w:pPr>
              <w:rPr>
                <w:rFonts w:ascii="Arial" w:hAnsi="Arial" w:cs="Arial"/>
                <w:highlight w:val="yellow"/>
                <w:u w:val="single"/>
                <w:lang w:val="nl-BE"/>
              </w:rPr>
            </w:pPr>
          </w:p>
        </w:tc>
      </w:tr>
      <w:tr w:rsidR="00C93D7E" w:rsidRPr="00C93D7E" w14:paraId="4188C154" w14:textId="1576C417" w:rsidTr="000E00D5">
        <w:tc>
          <w:tcPr>
            <w:tcW w:w="2500" w:type="pct"/>
          </w:tcPr>
          <w:p w14:paraId="4E406C68" w14:textId="003320D1" w:rsidR="00C93D7E" w:rsidRPr="002A1C14" w:rsidRDefault="00C93D7E" w:rsidP="00C93D7E">
            <w:pPr>
              <w:jc w:val="both"/>
              <w:rPr>
                <w:rFonts w:cstheme="minorHAnsi"/>
                <w:color w:val="000000" w:themeColor="text1"/>
                <w:highlight w:val="yellow"/>
                <w:u w:val="single"/>
              </w:rPr>
            </w:pPr>
            <w:r w:rsidRPr="002A1C14">
              <w:rPr>
                <w:rFonts w:ascii="Arial" w:hAnsi="Arial" w:cs="Arial"/>
                <w:highlight w:val="yellow"/>
                <w:u w:val="single"/>
                <w:lang w:val="fr-FR"/>
              </w:rPr>
              <w:t>Seules les données visant à identifier l'utilisateur ou l'abonné et les moyens de communication et relatives à l'accès et la connexion de l'équipement terminal au réseau et au service et à la localisation de cet équipement, y compris le point de terminaison du réseau, concernant la personne disparue et conservées au cours des 48 heures précédant la demande d'obtention des données, sont communiquées.</w:t>
            </w:r>
          </w:p>
        </w:tc>
        <w:tc>
          <w:tcPr>
            <w:tcW w:w="2500" w:type="pct"/>
          </w:tcPr>
          <w:p w14:paraId="188BAD6C" w14:textId="447EAF98" w:rsidR="00C93D7E" w:rsidRPr="002A1C14" w:rsidRDefault="00C93D7E" w:rsidP="00C93D7E">
            <w:pPr>
              <w:jc w:val="both"/>
              <w:rPr>
                <w:rFonts w:cstheme="minorHAnsi"/>
                <w:color w:val="000000" w:themeColor="text1"/>
                <w:highlight w:val="yellow"/>
                <w:u w:val="single"/>
                <w:lang w:val="nl-BE"/>
              </w:rPr>
            </w:pPr>
            <w:r w:rsidRPr="002A1C14">
              <w:rPr>
                <w:rFonts w:ascii="Arial" w:hAnsi="Arial" w:cs="Arial"/>
                <w:highlight w:val="yellow"/>
                <w:u w:val="single"/>
                <w:lang w:val="nl-BE"/>
              </w:rPr>
              <w:t>Enkel de gegevens ter identificatie van de gebruiker of de abonnee en de communicatiemiddelen en met betrekking tot de toegang tot en de verbinding van de eindapparatuur met het netwerk en met de dienst en met betrekking tot de plaats van die apparatuur, inclusief het netwerkaansluitpunt, betreffende de vermiste persoon en bewaard gedurende de 48 uur voorafgaand aan de opvordering, worden meegedeeld.</w:t>
            </w:r>
          </w:p>
        </w:tc>
      </w:tr>
      <w:tr w:rsidR="00C93D7E" w:rsidRPr="00C93D7E" w14:paraId="416CC805" w14:textId="77777777" w:rsidTr="000E00D5">
        <w:tc>
          <w:tcPr>
            <w:tcW w:w="2500" w:type="pct"/>
          </w:tcPr>
          <w:p w14:paraId="5465B4D4" w14:textId="77777777" w:rsidR="00C93D7E" w:rsidRPr="002A1C14" w:rsidRDefault="00C93D7E" w:rsidP="00C93D7E">
            <w:pPr>
              <w:jc w:val="both"/>
              <w:rPr>
                <w:rFonts w:ascii="Arial" w:hAnsi="Arial" w:cs="Arial"/>
                <w:highlight w:val="yellow"/>
                <w:u w:val="single"/>
                <w:lang w:val="fr-FR"/>
              </w:rPr>
            </w:pPr>
          </w:p>
        </w:tc>
        <w:tc>
          <w:tcPr>
            <w:tcW w:w="2500" w:type="pct"/>
          </w:tcPr>
          <w:p w14:paraId="5CD70F24" w14:textId="77777777" w:rsidR="00C93D7E" w:rsidRPr="002A1C14" w:rsidRDefault="00C93D7E" w:rsidP="00C93D7E">
            <w:pPr>
              <w:jc w:val="both"/>
              <w:rPr>
                <w:rFonts w:ascii="Arial" w:hAnsi="Arial" w:cs="Arial"/>
                <w:highlight w:val="yellow"/>
                <w:u w:val="single"/>
                <w:lang w:val="nl-BE"/>
              </w:rPr>
            </w:pPr>
          </w:p>
        </w:tc>
      </w:tr>
      <w:tr w:rsidR="00C93D7E" w:rsidRPr="00C93D7E" w14:paraId="26DC955D" w14:textId="1CFFF516" w:rsidTr="000E00D5">
        <w:tc>
          <w:tcPr>
            <w:tcW w:w="2500" w:type="pct"/>
          </w:tcPr>
          <w:p w14:paraId="366D9D17" w14:textId="4B232081" w:rsidR="00C93D7E" w:rsidRPr="002A1C14" w:rsidRDefault="00C93D7E" w:rsidP="00C93D7E">
            <w:pPr>
              <w:jc w:val="both"/>
              <w:rPr>
                <w:rFonts w:cstheme="minorHAnsi"/>
                <w:color w:val="000000" w:themeColor="text1"/>
                <w:highlight w:val="yellow"/>
                <w:u w:val="single"/>
              </w:rPr>
            </w:pPr>
            <w:r w:rsidRPr="002A1C14">
              <w:rPr>
                <w:rFonts w:ascii="Arial" w:hAnsi="Arial" w:cs="Arial"/>
                <w:highlight w:val="yellow"/>
                <w:u w:val="single"/>
                <w:lang w:val="fr-FR"/>
              </w:rPr>
              <w:t>La réquisition est adressée par l’officier de police judiciaire visé à paragraphe 2, alinéa 1, à :</w:t>
            </w:r>
          </w:p>
        </w:tc>
        <w:tc>
          <w:tcPr>
            <w:tcW w:w="2500" w:type="pct"/>
          </w:tcPr>
          <w:p w14:paraId="26305293" w14:textId="1DA2C544" w:rsidR="00C93D7E" w:rsidRPr="002A1C14" w:rsidRDefault="00C93D7E" w:rsidP="00C93D7E">
            <w:pPr>
              <w:jc w:val="both"/>
              <w:rPr>
                <w:rFonts w:cstheme="minorHAnsi"/>
                <w:color w:val="000000" w:themeColor="text1"/>
                <w:highlight w:val="yellow"/>
                <w:u w:val="single"/>
                <w:lang w:val="nl-BE"/>
              </w:rPr>
            </w:pPr>
            <w:r w:rsidRPr="002A1C14">
              <w:rPr>
                <w:rFonts w:ascii="Arial" w:hAnsi="Arial" w:cs="Arial"/>
                <w:highlight w:val="yellow"/>
                <w:u w:val="single"/>
                <w:lang w:val="nl-BE"/>
              </w:rPr>
              <w:t>De vordering wordt via de officier van gerechtelijke politie bedoeld in paragraaf 2, eerste lid 1, gericht aan:</w:t>
            </w:r>
          </w:p>
        </w:tc>
      </w:tr>
      <w:tr w:rsidR="00C93D7E" w:rsidRPr="00C93D7E" w14:paraId="475388AE" w14:textId="5733922E" w:rsidTr="000E00D5">
        <w:tc>
          <w:tcPr>
            <w:tcW w:w="2500" w:type="pct"/>
          </w:tcPr>
          <w:p w14:paraId="775AE0F5" w14:textId="0876715C" w:rsidR="00C93D7E" w:rsidRPr="002A1C14" w:rsidRDefault="00C93D7E" w:rsidP="00C93D7E">
            <w:pPr>
              <w:jc w:val="both"/>
              <w:rPr>
                <w:rFonts w:cstheme="minorHAnsi"/>
                <w:color w:val="000000" w:themeColor="text1"/>
                <w:highlight w:val="yellow"/>
                <w:u w:val="single"/>
              </w:rPr>
            </w:pPr>
            <w:r w:rsidRPr="002A1C14">
              <w:rPr>
                <w:rFonts w:ascii="Arial" w:hAnsi="Arial" w:cs="Arial"/>
                <w:highlight w:val="yellow"/>
                <w:u w:val="single"/>
                <w:lang w:val="fr-FR"/>
              </w:rPr>
              <w:lastRenderedPageBreak/>
              <w:t>l'opérateur d'un réseau de communications électroniques ; ou</w:t>
            </w:r>
          </w:p>
        </w:tc>
        <w:tc>
          <w:tcPr>
            <w:tcW w:w="2500" w:type="pct"/>
          </w:tcPr>
          <w:p w14:paraId="7474FE7A" w14:textId="42E79DFB" w:rsidR="00C93D7E" w:rsidRPr="002A1C14" w:rsidRDefault="00C93D7E" w:rsidP="00C93D7E">
            <w:pPr>
              <w:jc w:val="both"/>
              <w:rPr>
                <w:rFonts w:cstheme="minorHAnsi"/>
                <w:color w:val="000000" w:themeColor="text1"/>
                <w:highlight w:val="yellow"/>
                <w:u w:val="single"/>
                <w:lang w:val="nl-BE"/>
              </w:rPr>
            </w:pPr>
            <w:r w:rsidRPr="002A1C14">
              <w:rPr>
                <w:rFonts w:ascii="Arial" w:hAnsi="Arial" w:cs="Arial"/>
                <w:highlight w:val="yellow"/>
                <w:u w:val="single"/>
                <w:lang w:val="nl-BE"/>
              </w:rPr>
              <w:t>de operator van een elektronisch communicatienetwerk; of</w:t>
            </w:r>
          </w:p>
        </w:tc>
      </w:tr>
      <w:tr w:rsidR="00C93D7E" w:rsidRPr="00C93D7E" w14:paraId="4836591D" w14:textId="77777777" w:rsidTr="000E00D5">
        <w:tc>
          <w:tcPr>
            <w:tcW w:w="2500" w:type="pct"/>
          </w:tcPr>
          <w:p w14:paraId="7DEDB901" w14:textId="77777777" w:rsidR="00C93D7E" w:rsidRPr="002A1C14" w:rsidRDefault="00C93D7E" w:rsidP="00C93D7E">
            <w:pPr>
              <w:jc w:val="both"/>
              <w:rPr>
                <w:rFonts w:ascii="Arial" w:hAnsi="Arial" w:cs="Arial"/>
                <w:highlight w:val="yellow"/>
                <w:u w:val="single"/>
                <w:lang w:val="fr-FR"/>
              </w:rPr>
            </w:pPr>
          </w:p>
        </w:tc>
        <w:tc>
          <w:tcPr>
            <w:tcW w:w="2500" w:type="pct"/>
          </w:tcPr>
          <w:p w14:paraId="23DF4A69" w14:textId="77777777" w:rsidR="00C93D7E" w:rsidRPr="002A1C14" w:rsidRDefault="00C93D7E" w:rsidP="00C93D7E">
            <w:pPr>
              <w:jc w:val="both"/>
              <w:rPr>
                <w:rFonts w:ascii="Arial" w:hAnsi="Arial" w:cs="Arial"/>
                <w:highlight w:val="yellow"/>
                <w:u w:val="single"/>
                <w:lang w:val="nl-BE"/>
              </w:rPr>
            </w:pPr>
          </w:p>
        </w:tc>
      </w:tr>
      <w:tr w:rsidR="00C93D7E" w:rsidRPr="00C93D7E" w14:paraId="2F9FAE4B" w14:textId="5831163D" w:rsidTr="000E00D5">
        <w:tc>
          <w:tcPr>
            <w:tcW w:w="2500" w:type="pct"/>
          </w:tcPr>
          <w:p w14:paraId="6AAF4683" w14:textId="68058580" w:rsidR="00C93D7E" w:rsidRPr="002A1C14" w:rsidRDefault="00C93D7E" w:rsidP="002A1C14">
            <w:pPr>
              <w:jc w:val="both"/>
              <w:rPr>
                <w:rFonts w:cstheme="minorHAnsi"/>
                <w:color w:val="000000" w:themeColor="text1"/>
                <w:highlight w:val="yellow"/>
                <w:u w:val="single"/>
                <w:lang w:val="nl-BE"/>
              </w:rPr>
            </w:pPr>
            <w:r w:rsidRPr="002A1C14">
              <w:rPr>
                <w:rFonts w:ascii="Arial" w:hAnsi="Arial" w:cs="Arial"/>
                <w:highlight w:val="yellow"/>
                <w:u w:val="single"/>
                <w:lang w:val="fr-FR"/>
              </w:rPr>
              <w:t>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 </w:t>
            </w:r>
          </w:p>
        </w:tc>
        <w:tc>
          <w:tcPr>
            <w:tcW w:w="2500" w:type="pct"/>
          </w:tcPr>
          <w:p w14:paraId="6130FE7B" w14:textId="36DF62C8" w:rsidR="00C93D7E" w:rsidRPr="002A1C14" w:rsidRDefault="00C93D7E" w:rsidP="002A1C14">
            <w:pPr>
              <w:jc w:val="both"/>
              <w:rPr>
                <w:rFonts w:cstheme="minorHAnsi"/>
                <w:color w:val="000000" w:themeColor="text1"/>
                <w:highlight w:val="yellow"/>
                <w:u w:val="single"/>
                <w:lang w:val="nl-BE"/>
              </w:rPr>
            </w:pPr>
            <w:r w:rsidRPr="002A1C14">
              <w:rPr>
                <w:rFonts w:ascii="Arial" w:hAnsi="Arial" w:cs="Arial"/>
                <w:highlight w:val="yellow"/>
                <w:u w:val="single"/>
                <w:lang w:val="nl-BE"/>
              </w:rPr>
              <w:t>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tc>
      </w:tr>
    </w:tbl>
    <w:p w14:paraId="2330627A" w14:textId="77777777" w:rsidR="00B42EB4" w:rsidRPr="00C93D7E" w:rsidRDefault="00B42EB4" w:rsidP="00B42EB4">
      <w:pPr>
        <w:rPr>
          <w:lang w:val="nl-BE"/>
        </w:rPr>
      </w:pPr>
    </w:p>
    <w:sectPr w:rsidR="00B42EB4" w:rsidRPr="00C93D7E" w:rsidSect="000E00D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55E1" w14:textId="77777777" w:rsidR="00DE6BC3" w:rsidRDefault="00DE6BC3" w:rsidP="00DE6BC3">
      <w:pPr>
        <w:spacing w:after="0" w:line="240" w:lineRule="auto"/>
      </w:pPr>
      <w:r>
        <w:separator/>
      </w:r>
    </w:p>
  </w:endnote>
  <w:endnote w:type="continuationSeparator" w:id="0">
    <w:p w14:paraId="3692487E" w14:textId="77777777" w:rsidR="00DE6BC3" w:rsidRDefault="00DE6BC3" w:rsidP="00DE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11700"/>
      <w:docPartObj>
        <w:docPartGallery w:val="Page Numbers (Bottom of Page)"/>
        <w:docPartUnique/>
      </w:docPartObj>
    </w:sdtPr>
    <w:sdtEndPr>
      <w:rPr>
        <w:noProof/>
      </w:rPr>
    </w:sdtEndPr>
    <w:sdtContent>
      <w:p w14:paraId="63E457B5" w14:textId="552205DF" w:rsidR="00DE6BC3" w:rsidRDefault="00DE6B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C1C47" w14:textId="77777777" w:rsidR="00DE6BC3" w:rsidRDefault="00DE6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C362" w14:textId="77777777" w:rsidR="00DE6BC3" w:rsidRDefault="00DE6BC3" w:rsidP="00DE6BC3">
      <w:pPr>
        <w:spacing w:after="0" w:line="240" w:lineRule="auto"/>
      </w:pPr>
      <w:r>
        <w:separator/>
      </w:r>
    </w:p>
  </w:footnote>
  <w:footnote w:type="continuationSeparator" w:id="0">
    <w:p w14:paraId="7D812540" w14:textId="77777777" w:rsidR="00DE6BC3" w:rsidRDefault="00DE6BC3" w:rsidP="00DE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0E5B" w14:textId="0603AD65" w:rsidR="002E47D1" w:rsidRPr="002E47D1" w:rsidRDefault="0082314F" w:rsidP="002E47D1">
    <w:pPr>
      <w:pStyle w:val="Header"/>
      <w:jc w:val="right"/>
      <w:rPr>
        <w:lang w:val="fr-BE"/>
      </w:rPr>
    </w:pPr>
    <w:r>
      <w:rPr>
        <w:lang w:val="fr-BE"/>
      </w:rPr>
      <w:t>07</w:t>
    </w:r>
    <w:r w:rsidR="000E00D5">
      <w:rPr>
        <w:lang w:val="fr-BE"/>
      </w:rPr>
      <w:t>/0</w:t>
    </w:r>
    <w:r>
      <w:rPr>
        <w:lang w:val="fr-BE"/>
      </w:rPr>
      <w:t>5</w:t>
    </w:r>
    <w:r w:rsidR="000E00D5">
      <w:rPr>
        <w:lang w:val="fr-BE"/>
      </w:rPr>
      <w:t>/2021</w:t>
    </w:r>
    <w:r w:rsidR="009F36E5">
      <w:rPr>
        <w:lang w:val="fr-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1499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DC64E6"/>
    <w:multiLevelType w:val="multilevel"/>
    <w:tmpl w:val="8FFC54D2"/>
    <w:lvl w:ilvl="0">
      <w:start w:val="1"/>
      <w:numFmt w:val="upperRoman"/>
      <w:lvlText w:val="Partie %1."/>
      <w:lvlJc w:val="left"/>
      <w:pPr>
        <w:ind w:left="360" w:hanging="360"/>
      </w:pPr>
      <w:rPr>
        <w:rFonts w:hint="default"/>
      </w:rPr>
    </w:lvl>
    <w:lvl w:ilvl="1">
      <w:start w:val="1"/>
      <w:numFmt w:val="decimal"/>
      <w:lvlRestart w:val="0"/>
      <w:pStyle w:val="BIPTHeading1"/>
      <w:lvlText w:val="%2."/>
      <w:lvlJc w:val="left"/>
      <w:pPr>
        <w:ind w:left="851" w:hanging="851"/>
      </w:pPr>
      <w:rPr>
        <w:rFonts w:hint="default"/>
      </w:rPr>
    </w:lvl>
    <w:lvl w:ilvl="2">
      <w:start w:val="1"/>
      <w:numFmt w:val="decimal"/>
      <w:pStyle w:val="BIPTHeading2"/>
      <w:lvlText w:val="%2.%3."/>
      <w:lvlJc w:val="left"/>
      <w:pPr>
        <w:ind w:left="851" w:hanging="851"/>
      </w:pPr>
      <w:rPr>
        <w:rFonts w:hint="default"/>
      </w:rPr>
    </w:lvl>
    <w:lvl w:ilvl="3">
      <w:start w:val="1"/>
      <w:numFmt w:val="decimal"/>
      <w:pStyle w:val="BIPTHeading3"/>
      <w:lvlText w:val="%2.%3.%4."/>
      <w:lvlJc w:val="left"/>
      <w:pPr>
        <w:ind w:left="851" w:hanging="851"/>
      </w:pPr>
      <w:rPr>
        <w:rFonts w:hint="default"/>
      </w:rPr>
    </w:lvl>
    <w:lvl w:ilvl="4">
      <w:start w:val="1"/>
      <w:numFmt w:val="decimal"/>
      <w:pStyle w:val="BIPTHeading4"/>
      <w:lvlText w:val="%2.%3.%4.%5."/>
      <w:lvlJc w:val="left"/>
      <w:pPr>
        <w:ind w:left="851" w:hanging="851"/>
      </w:pPr>
      <w:rPr>
        <w:rFonts w:hint="default"/>
      </w:rPr>
    </w:lvl>
    <w:lvl w:ilvl="5">
      <w:start w:val="1"/>
      <w:numFmt w:val="lowerLetter"/>
      <w:pStyle w:val="BIPTHeading5"/>
      <w:suff w:val="space"/>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8D59AD"/>
    <w:multiLevelType w:val="multilevel"/>
    <w:tmpl w:val="B6B6DFCE"/>
    <w:lvl w:ilvl="0">
      <w:start w:val="1"/>
      <w:numFmt w:val="decimal"/>
      <w:lvlText w:val="%1."/>
      <w:lvlJc w:val="left"/>
      <w:pPr>
        <w:ind w:left="720" w:hanging="360"/>
      </w:pPr>
      <w:rPr>
        <w:rFonts w:hint="default"/>
      </w:rPr>
    </w:lvl>
    <w:lvl w:ilvl="1">
      <w:start w:val="1"/>
      <w:numFmt w:val="decimal"/>
      <w:lvlText w:val="%1.%2."/>
      <w:lvlJc w:val="left"/>
      <w:pPr>
        <w:ind w:left="1440" w:hanging="1083"/>
      </w:pPr>
      <w:rPr>
        <w:rFonts w:hint="default"/>
      </w:rPr>
    </w:lvl>
    <w:lvl w:ilvl="2">
      <w:start w:val="1"/>
      <w:numFmt w:val="decimal"/>
      <w:lvlText w:val="%1.%2.%3."/>
      <w:lvlJc w:val="left"/>
      <w:pPr>
        <w:ind w:left="1418" w:hanging="1061"/>
      </w:pPr>
      <w:rPr>
        <w:rFonts w:hint="default"/>
      </w:rPr>
    </w:lvl>
    <w:lvl w:ilvl="3">
      <w:start w:val="1"/>
      <w:numFmt w:val="decimal"/>
      <w:lvlText w:val="%1.%2.%3.%4."/>
      <w:lvlJc w:val="left"/>
      <w:pPr>
        <w:ind w:left="1418" w:hanging="10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28053B"/>
    <w:multiLevelType w:val="hybridMultilevel"/>
    <w:tmpl w:val="8C90ED7A"/>
    <w:lvl w:ilvl="0" w:tplc="F80205D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B9"/>
    <w:rsid w:val="00005002"/>
    <w:rsid w:val="00032690"/>
    <w:rsid w:val="000418D3"/>
    <w:rsid w:val="00065173"/>
    <w:rsid w:val="000770F0"/>
    <w:rsid w:val="00085473"/>
    <w:rsid w:val="000C1983"/>
    <w:rsid w:val="000E00D5"/>
    <w:rsid w:val="000E5C02"/>
    <w:rsid w:val="001363FC"/>
    <w:rsid w:val="0014651E"/>
    <w:rsid w:val="00164536"/>
    <w:rsid w:val="00172B44"/>
    <w:rsid w:val="00193B32"/>
    <w:rsid w:val="001A252C"/>
    <w:rsid w:val="001B4921"/>
    <w:rsid w:val="0020054B"/>
    <w:rsid w:val="00202A2C"/>
    <w:rsid w:val="0021288B"/>
    <w:rsid w:val="00232F2E"/>
    <w:rsid w:val="002519E2"/>
    <w:rsid w:val="00270C6B"/>
    <w:rsid w:val="002A1C14"/>
    <w:rsid w:val="002A2CC5"/>
    <w:rsid w:val="002C4C4B"/>
    <w:rsid w:val="002E47D1"/>
    <w:rsid w:val="002F00EC"/>
    <w:rsid w:val="002F457B"/>
    <w:rsid w:val="00313FD4"/>
    <w:rsid w:val="003354AB"/>
    <w:rsid w:val="00381A78"/>
    <w:rsid w:val="00384409"/>
    <w:rsid w:val="0039499B"/>
    <w:rsid w:val="003D6274"/>
    <w:rsid w:val="003E12B2"/>
    <w:rsid w:val="003E3DFC"/>
    <w:rsid w:val="003F7BDB"/>
    <w:rsid w:val="004354A3"/>
    <w:rsid w:val="0043684F"/>
    <w:rsid w:val="004468E4"/>
    <w:rsid w:val="00451B6E"/>
    <w:rsid w:val="00471407"/>
    <w:rsid w:val="004771B8"/>
    <w:rsid w:val="004844D8"/>
    <w:rsid w:val="004A40FC"/>
    <w:rsid w:val="004B1F33"/>
    <w:rsid w:val="004F138E"/>
    <w:rsid w:val="004F172D"/>
    <w:rsid w:val="004F330F"/>
    <w:rsid w:val="00515F49"/>
    <w:rsid w:val="005247A7"/>
    <w:rsid w:val="00553396"/>
    <w:rsid w:val="00564D7F"/>
    <w:rsid w:val="005727E1"/>
    <w:rsid w:val="00576A37"/>
    <w:rsid w:val="00585398"/>
    <w:rsid w:val="005A318C"/>
    <w:rsid w:val="005E6AF9"/>
    <w:rsid w:val="006031B0"/>
    <w:rsid w:val="00650C69"/>
    <w:rsid w:val="00653D61"/>
    <w:rsid w:val="006A7501"/>
    <w:rsid w:val="006C0E2E"/>
    <w:rsid w:val="006C344A"/>
    <w:rsid w:val="006C3C8E"/>
    <w:rsid w:val="006D2974"/>
    <w:rsid w:val="006E7CDA"/>
    <w:rsid w:val="006F13E1"/>
    <w:rsid w:val="00704DB9"/>
    <w:rsid w:val="00710134"/>
    <w:rsid w:val="00791FB7"/>
    <w:rsid w:val="007C7468"/>
    <w:rsid w:val="007D4017"/>
    <w:rsid w:val="00800CAC"/>
    <w:rsid w:val="0082314F"/>
    <w:rsid w:val="00830EE1"/>
    <w:rsid w:val="00841AB4"/>
    <w:rsid w:val="008A0A78"/>
    <w:rsid w:val="008B1926"/>
    <w:rsid w:val="008C013A"/>
    <w:rsid w:val="008C45D7"/>
    <w:rsid w:val="008D5E0B"/>
    <w:rsid w:val="008E0AA1"/>
    <w:rsid w:val="009048BC"/>
    <w:rsid w:val="00913CCE"/>
    <w:rsid w:val="00913DFF"/>
    <w:rsid w:val="00923798"/>
    <w:rsid w:val="00931B1D"/>
    <w:rsid w:val="00942A9F"/>
    <w:rsid w:val="00954622"/>
    <w:rsid w:val="009C06BC"/>
    <w:rsid w:val="009F02E9"/>
    <w:rsid w:val="009F36E5"/>
    <w:rsid w:val="00A121BC"/>
    <w:rsid w:val="00A622F1"/>
    <w:rsid w:val="00A82B5C"/>
    <w:rsid w:val="00A907E6"/>
    <w:rsid w:val="00A95131"/>
    <w:rsid w:val="00AA2824"/>
    <w:rsid w:val="00AB07F4"/>
    <w:rsid w:val="00AC1CCF"/>
    <w:rsid w:val="00AD73ED"/>
    <w:rsid w:val="00B005CC"/>
    <w:rsid w:val="00B06473"/>
    <w:rsid w:val="00B07FA1"/>
    <w:rsid w:val="00B125AB"/>
    <w:rsid w:val="00B20C1B"/>
    <w:rsid w:val="00B4158E"/>
    <w:rsid w:val="00B42EB4"/>
    <w:rsid w:val="00B7090F"/>
    <w:rsid w:val="00B92501"/>
    <w:rsid w:val="00BB67F4"/>
    <w:rsid w:val="00BC03AD"/>
    <w:rsid w:val="00BD2929"/>
    <w:rsid w:val="00BE3304"/>
    <w:rsid w:val="00C4416D"/>
    <w:rsid w:val="00C45B34"/>
    <w:rsid w:val="00C510BC"/>
    <w:rsid w:val="00C76DC2"/>
    <w:rsid w:val="00C93D7E"/>
    <w:rsid w:val="00CD58B1"/>
    <w:rsid w:val="00CE0AF4"/>
    <w:rsid w:val="00CF4615"/>
    <w:rsid w:val="00D034C6"/>
    <w:rsid w:val="00D04B06"/>
    <w:rsid w:val="00D42332"/>
    <w:rsid w:val="00D43174"/>
    <w:rsid w:val="00D6245E"/>
    <w:rsid w:val="00D85781"/>
    <w:rsid w:val="00D86840"/>
    <w:rsid w:val="00DB6D74"/>
    <w:rsid w:val="00DC438B"/>
    <w:rsid w:val="00DE6BC3"/>
    <w:rsid w:val="00E10EF9"/>
    <w:rsid w:val="00E22337"/>
    <w:rsid w:val="00E82C30"/>
    <w:rsid w:val="00EA13FE"/>
    <w:rsid w:val="00EC5BF7"/>
    <w:rsid w:val="00EE1916"/>
    <w:rsid w:val="00EF02D7"/>
    <w:rsid w:val="00EF555F"/>
    <w:rsid w:val="00F1172C"/>
    <w:rsid w:val="00F212F0"/>
    <w:rsid w:val="00F31D9D"/>
    <w:rsid w:val="00F4417F"/>
    <w:rsid w:val="00F51375"/>
    <w:rsid w:val="00F6765B"/>
    <w:rsid w:val="00FA4321"/>
    <w:rsid w:val="00FA5651"/>
    <w:rsid w:val="00FE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8881"/>
  <w15:chartTrackingRefBased/>
  <w15:docId w15:val="{F270D625-99C9-4827-B0D5-171FBD44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Heading1">
    <w:name w:val="heading 1"/>
    <w:basedOn w:val="Normal"/>
    <w:next w:val="Normal"/>
    <w:link w:val="Heading1Char"/>
    <w:uiPriority w:val="9"/>
    <w:qFormat/>
    <w:rsid w:val="009C06BC"/>
    <w:pPr>
      <w:keepNext/>
      <w:keepLines/>
      <w:spacing w:before="240" w:after="0"/>
      <w:outlineLvl w:val="0"/>
    </w:pPr>
    <w:rPr>
      <w:rFonts w:eastAsiaTheme="majorEastAsia" w:cstheme="majorBidi"/>
      <w:color w:val="1B80B2" w:themeColor="accent1" w:themeShade="BF"/>
      <w:sz w:val="24"/>
      <w:szCs w:val="32"/>
    </w:rPr>
  </w:style>
  <w:style w:type="paragraph" w:styleId="Heading2">
    <w:name w:val="heading 2"/>
    <w:basedOn w:val="Normal"/>
    <w:next w:val="Normal"/>
    <w:link w:val="Heading2Ch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paragraph" w:styleId="Heading3">
    <w:name w:val="heading 3"/>
    <w:basedOn w:val="Normal"/>
    <w:next w:val="Normal"/>
    <w:link w:val="Heading3Char"/>
    <w:uiPriority w:val="9"/>
    <w:semiHidden/>
    <w:unhideWhenUsed/>
    <w:qFormat/>
    <w:rsid w:val="00CF4615"/>
    <w:pPr>
      <w:keepNext/>
      <w:keepLines/>
      <w:spacing w:before="40" w:after="0"/>
      <w:outlineLvl w:val="2"/>
    </w:pPr>
    <w:rPr>
      <w:rFonts w:asciiTheme="majorHAnsi" w:eastAsiaTheme="majorEastAsia" w:hAnsiTheme="majorHAnsi" w:cstheme="majorBidi"/>
      <w:color w:val="125576" w:themeColor="accent1" w:themeShade="7F"/>
      <w:sz w:val="24"/>
      <w:szCs w:val="24"/>
    </w:rPr>
  </w:style>
  <w:style w:type="paragraph" w:styleId="Heading4">
    <w:name w:val="heading 4"/>
    <w:basedOn w:val="Normal"/>
    <w:next w:val="Normal"/>
    <w:link w:val="Heading4Char"/>
    <w:uiPriority w:val="9"/>
    <w:semiHidden/>
    <w:unhideWhenUsed/>
    <w:qFormat/>
    <w:rsid w:val="00CF4615"/>
    <w:pPr>
      <w:keepNext/>
      <w:keepLines/>
      <w:spacing w:before="40" w:after="0"/>
      <w:outlineLvl w:val="3"/>
    </w:pPr>
    <w:rPr>
      <w:rFonts w:asciiTheme="majorHAnsi" w:eastAsiaTheme="majorEastAsia" w:hAnsiTheme="majorHAnsi" w:cstheme="majorBidi"/>
      <w:i/>
      <w:iCs/>
      <w:color w:val="1B80B2" w:themeColor="accent1" w:themeShade="BF"/>
    </w:rPr>
  </w:style>
  <w:style w:type="paragraph" w:styleId="Heading5">
    <w:name w:val="heading 5"/>
    <w:basedOn w:val="Normal"/>
    <w:next w:val="Normal"/>
    <w:link w:val="Heading5Char"/>
    <w:uiPriority w:val="9"/>
    <w:semiHidden/>
    <w:unhideWhenUsed/>
    <w:qFormat/>
    <w:rsid w:val="00CF4615"/>
    <w:pPr>
      <w:keepNext/>
      <w:keepLines/>
      <w:spacing w:before="40" w:after="0"/>
      <w:outlineLvl w:val="4"/>
    </w:pPr>
    <w:rPr>
      <w:rFonts w:asciiTheme="majorHAnsi" w:eastAsiaTheme="majorEastAsia" w:hAnsiTheme="majorHAnsi" w:cstheme="majorBidi"/>
      <w:color w:val="1B80B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6BC"/>
    <w:rPr>
      <w:rFonts w:ascii="Tahoma" w:eastAsiaTheme="majorEastAsia" w:hAnsi="Tahoma" w:cstheme="majorBidi"/>
      <w:color w:val="1B80B2" w:themeColor="accent1" w:themeShade="BF"/>
      <w:sz w:val="24"/>
      <w:szCs w:val="32"/>
    </w:rPr>
  </w:style>
  <w:style w:type="paragraph" w:styleId="Title">
    <w:name w:val="Title"/>
    <w:basedOn w:val="Normal"/>
    <w:next w:val="Normal"/>
    <w:link w:val="Title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character" w:styleId="Hyperlink">
    <w:name w:val="Hyperlink"/>
    <w:basedOn w:val="DefaultParagraphFont"/>
    <w:uiPriority w:val="99"/>
    <w:unhideWhenUsed/>
    <w:rsid w:val="007D4017"/>
    <w:rPr>
      <w:color w:val="0000FF"/>
      <w:u w:val="single"/>
    </w:rPr>
  </w:style>
  <w:style w:type="table" w:styleId="TableGrid">
    <w:name w:val="Table Grid"/>
    <w:basedOn w:val="TableNormal"/>
    <w:uiPriority w:val="59"/>
    <w:rsid w:val="00CF461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PTHeading1">
    <w:name w:val="BIPT Heading 1"/>
    <w:basedOn w:val="Heading1"/>
    <w:next w:val="Normal"/>
    <w:qFormat/>
    <w:rsid w:val="00D42332"/>
    <w:pPr>
      <w:keepNext w:val="0"/>
      <w:numPr>
        <w:ilvl w:val="1"/>
        <w:numId w:val="1"/>
      </w:numPr>
      <w:spacing w:before="480" w:after="360" w:line="240" w:lineRule="auto"/>
      <w:jc w:val="both"/>
    </w:pPr>
    <w:rPr>
      <w:rFonts w:eastAsia="Times New Roman" w:cs="Times New Roman"/>
      <w:b/>
      <w:bCs/>
      <w:color w:val="292A81"/>
      <w:sz w:val="28"/>
      <w:szCs w:val="28"/>
      <w:lang w:val="fr-BE"/>
    </w:rPr>
  </w:style>
  <w:style w:type="paragraph" w:customStyle="1" w:styleId="BIPTHeading2">
    <w:name w:val="BIPT Heading 2"/>
    <w:basedOn w:val="Heading2"/>
    <w:next w:val="Normal"/>
    <w:qFormat/>
    <w:rsid w:val="00CF4615"/>
    <w:pPr>
      <w:numPr>
        <w:ilvl w:val="2"/>
        <w:numId w:val="1"/>
      </w:numPr>
      <w:spacing w:before="360" w:after="240" w:line="240" w:lineRule="auto"/>
      <w:jc w:val="both"/>
    </w:pPr>
    <w:rPr>
      <w:rFonts w:eastAsia="Times New Roman" w:cs="Times New Roman"/>
      <w:b/>
      <w:bCs/>
      <w:color w:val="002060"/>
      <w:sz w:val="24"/>
      <w:lang w:val="fr-BE"/>
    </w:rPr>
  </w:style>
  <w:style w:type="paragraph" w:customStyle="1" w:styleId="BIPTHeading3">
    <w:name w:val="BIPT Heading 3"/>
    <w:basedOn w:val="Heading3"/>
    <w:next w:val="Normal"/>
    <w:qFormat/>
    <w:rsid w:val="00CF4615"/>
    <w:pPr>
      <w:numPr>
        <w:ilvl w:val="3"/>
        <w:numId w:val="1"/>
      </w:numPr>
      <w:tabs>
        <w:tab w:val="num" w:pos="360"/>
      </w:tabs>
      <w:spacing w:before="360" w:after="240" w:line="240" w:lineRule="auto"/>
      <w:ind w:left="0" w:firstLine="0"/>
      <w:jc w:val="both"/>
    </w:pPr>
    <w:rPr>
      <w:rFonts w:ascii="Tahoma" w:eastAsia="Times New Roman" w:hAnsi="Tahoma" w:cs="Times New Roman"/>
      <w:b/>
      <w:bCs/>
      <w:color w:val="002060"/>
      <w:sz w:val="20"/>
      <w:szCs w:val="22"/>
      <w:lang w:val="fr-BE"/>
    </w:rPr>
  </w:style>
  <w:style w:type="paragraph" w:customStyle="1" w:styleId="BIPTHeading4">
    <w:name w:val="BIPT Heading 4"/>
    <w:basedOn w:val="Heading4"/>
    <w:next w:val="Normal"/>
    <w:qFormat/>
    <w:rsid w:val="00CF4615"/>
    <w:pPr>
      <w:keepNext w:val="0"/>
      <w:numPr>
        <w:ilvl w:val="4"/>
        <w:numId w:val="1"/>
      </w:numPr>
      <w:tabs>
        <w:tab w:val="num" w:pos="360"/>
      </w:tabs>
      <w:spacing w:before="360" w:after="240" w:line="240" w:lineRule="auto"/>
      <w:ind w:left="0" w:firstLine="0"/>
      <w:jc w:val="both"/>
    </w:pPr>
    <w:rPr>
      <w:rFonts w:ascii="Tahoma" w:eastAsia="Times New Roman" w:hAnsi="Tahoma" w:cs="Times New Roman"/>
      <w:b/>
      <w:bCs/>
      <w:color w:val="002060"/>
      <w:lang w:val="fr-BE"/>
    </w:rPr>
  </w:style>
  <w:style w:type="paragraph" w:customStyle="1" w:styleId="BIPTHeading5">
    <w:name w:val="BIPT Heading 5"/>
    <w:basedOn w:val="Heading5"/>
    <w:next w:val="Normal"/>
    <w:qFormat/>
    <w:rsid w:val="00CF4615"/>
    <w:pPr>
      <w:numPr>
        <w:ilvl w:val="5"/>
        <w:numId w:val="1"/>
      </w:numPr>
      <w:tabs>
        <w:tab w:val="num" w:pos="360"/>
      </w:tabs>
      <w:spacing w:before="360" w:after="240" w:line="240" w:lineRule="auto"/>
      <w:ind w:left="3960" w:hanging="180"/>
      <w:jc w:val="both"/>
    </w:pPr>
    <w:rPr>
      <w:color w:val="0070C0"/>
      <w:lang w:val="fr-BE"/>
    </w:rPr>
  </w:style>
  <w:style w:type="character" w:customStyle="1" w:styleId="Heading3Char">
    <w:name w:val="Heading 3 Char"/>
    <w:basedOn w:val="DefaultParagraphFont"/>
    <w:link w:val="Heading3"/>
    <w:uiPriority w:val="9"/>
    <w:semiHidden/>
    <w:rsid w:val="00CF4615"/>
    <w:rPr>
      <w:rFonts w:asciiTheme="majorHAnsi" w:eastAsiaTheme="majorEastAsia" w:hAnsiTheme="majorHAnsi" w:cstheme="majorBidi"/>
      <w:color w:val="125576" w:themeColor="accent1" w:themeShade="7F"/>
      <w:sz w:val="24"/>
      <w:szCs w:val="24"/>
    </w:rPr>
  </w:style>
  <w:style w:type="character" w:customStyle="1" w:styleId="Heading4Char">
    <w:name w:val="Heading 4 Char"/>
    <w:basedOn w:val="DefaultParagraphFont"/>
    <w:link w:val="Heading4"/>
    <w:uiPriority w:val="9"/>
    <w:semiHidden/>
    <w:rsid w:val="00CF4615"/>
    <w:rPr>
      <w:rFonts w:asciiTheme="majorHAnsi" w:eastAsiaTheme="majorEastAsia" w:hAnsiTheme="majorHAnsi" w:cstheme="majorBidi"/>
      <w:i/>
      <w:iCs/>
      <w:color w:val="1B80B2" w:themeColor="accent1" w:themeShade="BF"/>
      <w:sz w:val="20"/>
    </w:rPr>
  </w:style>
  <w:style w:type="character" w:customStyle="1" w:styleId="Heading5Char">
    <w:name w:val="Heading 5 Char"/>
    <w:basedOn w:val="DefaultParagraphFont"/>
    <w:link w:val="Heading5"/>
    <w:uiPriority w:val="9"/>
    <w:semiHidden/>
    <w:rsid w:val="00CF4615"/>
    <w:rPr>
      <w:rFonts w:asciiTheme="majorHAnsi" w:eastAsiaTheme="majorEastAsia" w:hAnsiTheme="majorHAnsi" w:cstheme="majorBidi"/>
      <w:color w:val="1B80B2" w:themeColor="accent1" w:themeShade="BF"/>
      <w:sz w:val="20"/>
    </w:rPr>
  </w:style>
  <w:style w:type="character" w:styleId="CommentReference">
    <w:name w:val="annotation reference"/>
    <w:basedOn w:val="DefaultParagraphFont"/>
    <w:uiPriority w:val="99"/>
    <w:semiHidden/>
    <w:unhideWhenUsed/>
    <w:rsid w:val="00BC03AD"/>
    <w:rPr>
      <w:sz w:val="16"/>
      <w:szCs w:val="16"/>
    </w:rPr>
  </w:style>
  <w:style w:type="paragraph" w:styleId="CommentText">
    <w:name w:val="annotation text"/>
    <w:basedOn w:val="Normal"/>
    <w:link w:val="CommentTextChar"/>
    <w:uiPriority w:val="99"/>
    <w:semiHidden/>
    <w:unhideWhenUsed/>
    <w:rsid w:val="00BC03AD"/>
    <w:pPr>
      <w:spacing w:line="240" w:lineRule="auto"/>
    </w:pPr>
    <w:rPr>
      <w:szCs w:val="20"/>
    </w:rPr>
  </w:style>
  <w:style w:type="character" w:customStyle="1" w:styleId="CommentTextChar">
    <w:name w:val="Comment Text Char"/>
    <w:basedOn w:val="DefaultParagraphFont"/>
    <w:link w:val="CommentText"/>
    <w:uiPriority w:val="99"/>
    <w:semiHidden/>
    <w:rsid w:val="00BC03AD"/>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BC03AD"/>
    <w:rPr>
      <w:b/>
      <w:bCs/>
    </w:rPr>
  </w:style>
  <w:style w:type="character" w:customStyle="1" w:styleId="CommentSubjectChar">
    <w:name w:val="Comment Subject Char"/>
    <w:basedOn w:val="CommentTextChar"/>
    <w:link w:val="CommentSubject"/>
    <w:uiPriority w:val="99"/>
    <w:semiHidden/>
    <w:rsid w:val="00BC03AD"/>
    <w:rPr>
      <w:rFonts w:ascii="Tahoma" w:hAnsi="Tahoma"/>
      <w:b/>
      <w:bCs/>
      <w:sz w:val="20"/>
      <w:szCs w:val="20"/>
    </w:rPr>
  </w:style>
  <w:style w:type="paragraph" w:styleId="Revision">
    <w:name w:val="Revision"/>
    <w:hidden/>
    <w:uiPriority w:val="99"/>
    <w:semiHidden/>
    <w:rsid w:val="002F00EC"/>
    <w:pPr>
      <w:spacing w:after="0" w:line="240" w:lineRule="auto"/>
    </w:pPr>
    <w:rPr>
      <w:rFonts w:ascii="Tahoma" w:hAnsi="Tahoma"/>
      <w:sz w:val="20"/>
    </w:rPr>
  </w:style>
  <w:style w:type="paragraph" w:styleId="NoSpacing">
    <w:name w:val="No Spacing"/>
    <w:uiPriority w:val="1"/>
    <w:qFormat/>
    <w:rsid w:val="00DE6BC3"/>
    <w:pPr>
      <w:spacing w:after="0" w:line="240" w:lineRule="auto"/>
      <w:jc w:val="both"/>
    </w:pPr>
    <w:rPr>
      <w:rFonts w:ascii="Tahoma" w:eastAsia="Times New Roman" w:hAnsi="Tahoma" w:cs="Times New Roman"/>
      <w:sz w:val="20"/>
      <w:lang w:val="fr-BE"/>
    </w:rPr>
  </w:style>
  <w:style w:type="paragraph" w:styleId="Header">
    <w:name w:val="header"/>
    <w:basedOn w:val="Normal"/>
    <w:link w:val="HeaderChar"/>
    <w:uiPriority w:val="99"/>
    <w:unhideWhenUsed/>
    <w:rsid w:val="00DE6BC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E6BC3"/>
    <w:rPr>
      <w:rFonts w:ascii="Tahoma" w:hAnsi="Tahoma"/>
      <w:sz w:val="20"/>
    </w:rPr>
  </w:style>
  <w:style w:type="paragraph" w:styleId="Footer">
    <w:name w:val="footer"/>
    <w:basedOn w:val="Normal"/>
    <w:link w:val="FooterChar"/>
    <w:uiPriority w:val="99"/>
    <w:unhideWhenUsed/>
    <w:rsid w:val="00DE6BC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E6BC3"/>
    <w:rPr>
      <w:rFonts w:ascii="Tahoma" w:hAnsi="Tahoma"/>
      <w:sz w:val="20"/>
    </w:rPr>
  </w:style>
  <w:style w:type="character" w:styleId="Emphasis">
    <w:name w:val="Emphasis"/>
    <w:basedOn w:val="DefaultParagraphFont"/>
    <w:uiPriority w:val="20"/>
    <w:qFormat/>
    <w:rsid w:val="004F172D"/>
    <w:rPr>
      <w:i/>
      <w:iCs/>
    </w:rPr>
  </w:style>
  <w:style w:type="character" w:styleId="FootnoteReference">
    <w:name w:val="footnote reference"/>
    <w:basedOn w:val="DefaultParagraphFont"/>
    <w:uiPriority w:val="99"/>
    <w:semiHidden/>
    <w:rsid w:val="00471407"/>
    <w:rPr>
      <w:vertAlign w:val="superscript"/>
    </w:rPr>
  </w:style>
  <w:style w:type="paragraph" w:styleId="FootnoteText">
    <w:name w:val="footnote text"/>
    <w:basedOn w:val="Normal"/>
    <w:link w:val="FootnoteTextChar"/>
    <w:uiPriority w:val="99"/>
    <w:semiHidden/>
    <w:unhideWhenUsed/>
    <w:rsid w:val="00471407"/>
    <w:pPr>
      <w:spacing w:after="0" w:line="240" w:lineRule="auto"/>
      <w:jc w:val="both"/>
    </w:pPr>
    <w:rPr>
      <w:rFonts w:eastAsia="Times New Roman" w:cs="Times New Roman"/>
      <w:szCs w:val="20"/>
      <w:lang w:val="fr-BE"/>
    </w:rPr>
  </w:style>
  <w:style w:type="character" w:customStyle="1" w:styleId="FootnoteTextChar">
    <w:name w:val="Footnote Text Char"/>
    <w:basedOn w:val="DefaultParagraphFont"/>
    <w:link w:val="FootnoteText"/>
    <w:uiPriority w:val="99"/>
    <w:semiHidden/>
    <w:rsid w:val="00471407"/>
    <w:rPr>
      <w:rFonts w:ascii="Tahoma" w:eastAsia="Times New Roman" w:hAnsi="Tahoma" w:cs="Times New Roman"/>
      <w:sz w:val="20"/>
      <w:szCs w:val="20"/>
      <w:lang w:val="fr-BE"/>
    </w:rPr>
  </w:style>
  <w:style w:type="paragraph" w:styleId="ListParagraph">
    <w:name w:val="List Paragraph"/>
    <w:basedOn w:val="Normal"/>
    <w:uiPriority w:val="34"/>
    <w:qFormat/>
    <w:rsid w:val="008B1926"/>
    <w:pPr>
      <w:ind w:left="720"/>
      <w:contextualSpacing/>
    </w:pPr>
  </w:style>
  <w:style w:type="paragraph" w:styleId="TOCHeading">
    <w:name w:val="TOC Heading"/>
    <w:basedOn w:val="Heading1"/>
    <w:next w:val="Normal"/>
    <w:uiPriority w:val="39"/>
    <w:unhideWhenUsed/>
    <w:qFormat/>
    <w:rsid w:val="004F330F"/>
    <w:pPr>
      <w:outlineLvl w:val="9"/>
    </w:pPr>
    <w:rPr>
      <w:rFonts w:asciiTheme="majorHAnsi" w:hAnsiTheme="majorHAnsi"/>
      <w:sz w:val="32"/>
    </w:rPr>
  </w:style>
  <w:style w:type="paragraph" w:styleId="TOC1">
    <w:name w:val="toc 1"/>
    <w:basedOn w:val="Normal"/>
    <w:next w:val="Normal"/>
    <w:autoRedefine/>
    <w:uiPriority w:val="39"/>
    <w:unhideWhenUsed/>
    <w:rsid w:val="004F330F"/>
    <w:pPr>
      <w:spacing w:after="100"/>
    </w:pPr>
  </w:style>
  <w:style w:type="paragraph" w:styleId="BalloonText">
    <w:name w:val="Balloon Text"/>
    <w:basedOn w:val="Normal"/>
    <w:link w:val="BalloonTextChar"/>
    <w:uiPriority w:val="99"/>
    <w:semiHidden/>
    <w:unhideWhenUsed/>
    <w:rsid w:val="00A6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F1"/>
    <w:rPr>
      <w:rFonts w:ascii="Segoe UI" w:hAnsi="Segoe UI" w:cs="Segoe UI"/>
      <w:sz w:val="18"/>
      <w:szCs w:val="18"/>
    </w:rPr>
  </w:style>
  <w:style w:type="paragraph" w:styleId="ListBullet">
    <w:name w:val="List Bullet"/>
    <w:basedOn w:val="Normal"/>
    <w:uiPriority w:val="99"/>
    <w:unhideWhenUsed/>
    <w:rsid w:val="00B42EB4"/>
    <w:pPr>
      <w:numPr>
        <w:numId w:val="4"/>
      </w:numPr>
      <w:spacing w:after="200" w:line="276" w:lineRule="auto"/>
      <w:contextualSpacing/>
    </w:pPr>
    <w:rPr>
      <w:rFonts w:asciiTheme="minorHAnsi" w:hAnsiTheme="minorHAnsi"/>
      <w:sz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DS20-1372834777-1063</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DS20-1372834777-1063</_dlc_DocId>
    <_dlc_DocIdUrl xmlns="2b4b6fc7-bde4-44a8-8bca-a78eb25a27e9">
      <Url>http://teamworkingspace.bipt.local/sites/dossiers2020/12/2020001255/_layouts/DocIdRedir.aspx?ID=DS20-1372834777-1063</Url>
      <Description>DS20-1372834777-1063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6BBBA-2424-4187-8042-7833C068546D}"/>
</file>

<file path=customXml/itemProps2.xml><?xml version="1.0" encoding="utf-8"?>
<ds:datastoreItem xmlns:ds="http://schemas.openxmlformats.org/officeDocument/2006/customXml" ds:itemID="{687AA9C6-E9FF-4752-96E9-0255CC862D62}"/>
</file>

<file path=customXml/itemProps3.xml><?xml version="1.0" encoding="utf-8"?>
<ds:datastoreItem xmlns:ds="http://schemas.openxmlformats.org/officeDocument/2006/customXml" ds:itemID="{4EB3CA5B-C838-4297-AC91-ECA0CA95D1DB}"/>
</file>

<file path=customXml/itemProps4.xml><?xml version="1.0" encoding="utf-8"?>
<ds:datastoreItem xmlns:ds="http://schemas.openxmlformats.org/officeDocument/2006/customXml" ds:itemID="{2C78BB44-44AA-4D5A-A56D-0AA42B1269D8}"/>
</file>

<file path=customXml/itemProps5.xml><?xml version="1.0" encoding="utf-8"?>
<ds:datastoreItem xmlns:ds="http://schemas.openxmlformats.org/officeDocument/2006/customXml" ds:itemID="{37D3DC8E-48E4-428B-8D28-5968B1D5C36A}"/>
</file>

<file path=customXml/itemProps6.xml><?xml version="1.0" encoding="utf-8"?>
<ds:datastoreItem xmlns:ds="http://schemas.openxmlformats.org/officeDocument/2006/customXml" ds:itemID="{0AF42237-949F-4DAE-9BC2-01AA77182AC8}"/>
</file>

<file path=docProps/app.xml><?xml version="1.0" encoding="utf-8"?>
<Properties xmlns="http://schemas.openxmlformats.org/officeDocument/2006/extended-properties" xmlns:vt="http://schemas.openxmlformats.org/officeDocument/2006/docPropsVTypes">
  <Template>Normal</Template>
  <TotalTime>26</TotalTime>
  <Pages>2</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02 loi IBPT-statut version coordonnée et EdM_NL</vt:lpstr>
      <vt:lpstr>02 loi IBPT-statut version coordonnée et EdM_NL</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loi IBPT-statut version coordonnée et EdM_NL</dc:title>
  <dc:subject/>
  <dc:creator>Dethy Pierre-Yves</dc:creator>
  <cp:keywords/>
  <dc:description/>
  <cp:lastModifiedBy>Dethy Pierre-Yves</cp:lastModifiedBy>
  <cp:revision>10</cp:revision>
  <dcterms:created xsi:type="dcterms:W3CDTF">2021-04-23T17:26:00Z</dcterms:created>
  <dcterms:modified xsi:type="dcterms:W3CDTF">2021-05-07T08:17:00Z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c2841f05-e161-42d1-a5a0-f83f40ddca90</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ies>
</file>