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C45BF" w14:textId="272FEA43" w:rsidR="006C282E" w:rsidRDefault="006C282E" w:rsidP="006C282E">
      <w:pPr>
        <w:pStyle w:val="Title"/>
        <w:jc w:val="center"/>
        <w:rPr>
          <w:sz w:val="28"/>
          <w:szCs w:val="28"/>
        </w:rPr>
      </w:pPr>
      <w:r>
        <w:rPr>
          <w:sz w:val="28"/>
          <w:szCs w:val="28"/>
        </w:rPr>
        <w:t xml:space="preserve">Version coordonnée de la </w:t>
      </w:r>
      <w:r w:rsidRPr="007C172C">
        <w:rPr>
          <w:sz w:val="28"/>
          <w:szCs w:val="28"/>
        </w:rPr>
        <w:t xml:space="preserve">loi </w:t>
      </w:r>
      <w:r>
        <w:rPr>
          <w:sz w:val="28"/>
          <w:szCs w:val="28"/>
        </w:rPr>
        <w:t>NIS </w:t>
      </w:r>
      <w:r w:rsidR="00F93F53">
        <w:rPr>
          <w:sz w:val="28"/>
          <w:szCs w:val="28"/>
        </w:rPr>
        <w:t xml:space="preserve">(chapitre 9 du dispositif) </w:t>
      </w:r>
      <w:r>
        <w:rPr>
          <w:sz w:val="28"/>
          <w:szCs w:val="28"/>
        </w:rPr>
        <w:t xml:space="preserve">  </w:t>
      </w:r>
    </w:p>
    <w:p w14:paraId="0B0C6092" w14:textId="15EA7FBF" w:rsidR="006C282E" w:rsidRPr="00203AEE" w:rsidRDefault="006C282E" w:rsidP="006C282E">
      <w:pPr>
        <w:pStyle w:val="Title"/>
        <w:jc w:val="center"/>
        <w:rPr>
          <w:lang w:val="nl-BE"/>
        </w:rPr>
      </w:pPr>
      <w:r>
        <w:rPr>
          <w:sz w:val="28"/>
          <w:szCs w:val="28"/>
          <w:lang w:val="nl-BE"/>
        </w:rPr>
        <w:t>G</w:t>
      </w:r>
      <w:r w:rsidRPr="000E3CB5">
        <w:rPr>
          <w:sz w:val="28"/>
          <w:szCs w:val="28"/>
          <w:lang w:val="nl-BE"/>
        </w:rPr>
        <w:t xml:space="preserve">ecoördineerde versie </w:t>
      </w:r>
      <w:r>
        <w:rPr>
          <w:sz w:val="28"/>
          <w:szCs w:val="28"/>
          <w:lang w:val="nl-BE"/>
        </w:rPr>
        <w:t xml:space="preserve">van de NIS </w:t>
      </w:r>
      <w:r w:rsidRPr="000E3CB5">
        <w:rPr>
          <w:sz w:val="28"/>
          <w:szCs w:val="28"/>
          <w:lang w:val="nl-BE"/>
        </w:rPr>
        <w:t>wet </w:t>
      </w:r>
      <w:r w:rsidR="00F93F53">
        <w:rPr>
          <w:sz w:val="28"/>
          <w:szCs w:val="28"/>
          <w:lang w:val="nl-BE"/>
        </w:rPr>
        <w:t>(hoofdstuk 9 van het dispositief)</w:t>
      </w:r>
    </w:p>
    <w:p w14:paraId="1130808E" w14:textId="436FE07D" w:rsidR="007C5E2D" w:rsidRPr="00133FB1" w:rsidRDefault="007C5E2D" w:rsidP="006C282E">
      <w:pPr>
        <w:jc w:val="center"/>
        <w:rPr>
          <w:lang w:val="nl-BE"/>
        </w:rPr>
      </w:pPr>
    </w:p>
    <w:tbl>
      <w:tblPr>
        <w:tblStyle w:val="TableGrid"/>
        <w:tblW w:w="0" w:type="auto"/>
        <w:tblInd w:w="-5" w:type="dxa"/>
        <w:tblLook w:val="04A0" w:firstRow="1" w:lastRow="0" w:firstColumn="1" w:lastColumn="0" w:noHBand="0" w:noVBand="1"/>
      </w:tblPr>
      <w:tblGrid>
        <w:gridCol w:w="4510"/>
        <w:gridCol w:w="4511"/>
      </w:tblGrid>
      <w:tr w:rsidR="006C282E" w14:paraId="03DB6A33" w14:textId="77777777" w:rsidTr="00B60D63">
        <w:tc>
          <w:tcPr>
            <w:tcW w:w="4510" w:type="dxa"/>
            <w:shd w:val="clear" w:color="auto" w:fill="D9D9D9" w:themeFill="background1" w:themeFillShade="D9"/>
          </w:tcPr>
          <w:p w14:paraId="741ABB4E" w14:textId="77777777" w:rsidR="006C282E" w:rsidRPr="00133FB1" w:rsidRDefault="006C282E" w:rsidP="00B60D63">
            <w:pPr>
              <w:jc w:val="center"/>
              <w:rPr>
                <w:rFonts w:ascii="Arial" w:hAnsi="Arial" w:cs="Arial"/>
              </w:rPr>
            </w:pPr>
            <w:proofErr w:type="spellStart"/>
            <w:r w:rsidRPr="00133FB1">
              <w:rPr>
                <w:rFonts w:ascii="Arial" w:hAnsi="Arial" w:cs="Arial"/>
              </w:rPr>
              <w:t>Français</w:t>
            </w:r>
            <w:proofErr w:type="spellEnd"/>
          </w:p>
        </w:tc>
        <w:tc>
          <w:tcPr>
            <w:tcW w:w="4511" w:type="dxa"/>
            <w:shd w:val="clear" w:color="auto" w:fill="D9D9D9" w:themeFill="background1" w:themeFillShade="D9"/>
          </w:tcPr>
          <w:p w14:paraId="409088C3" w14:textId="77777777" w:rsidR="006C282E" w:rsidRPr="00133FB1" w:rsidRDefault="006C282E" w:rsidP="00B60D63">
            <w:pPr>
              <w:jc w:val="center"/>
              <w:rPr>
                <w:rFonts w:ascii="Arial" w:hAnsi="Arial" w:cs="Arial"/>
              </w:rPr>
            </w:pPr>
            <w:proofErr w:type="spellStart"/>
            <w:r w:rsidRPr="00133FB1">
              <w:rPr>
                <w:rFonts w:ascii="Arial" w:hAnsi="Arial" w:cs="Arial"/>
              </w:rPr>
              <w:t>Nederlands</w:t>
            </w:r>
            <w:proofErr w:type="spellEnd"/>
            <w:r w:rsidRPr="00133FB1">
              <w:rPr>
                <w:rFonts w:ascii="Arial" w:hAnsi="Arial" w:cs="Arial"/>
              </w:rPr>
              <w:t xml:space="preserve"> </w:t>
            </w:r>
          </w:p>
        </w:tc>
      </w:tr>
      <w:tr w:rsidR="006C282E" w:rsidRPr="00F93F53" w14:paraId="5123A464" w14:textId="77777777" w:rsidTr="00B60D63">
        <w:tc>
          <w:tcPr>
            <w:tcW w:w="4510" w:type="dxa"/>
          </w:tcPr>
          <w:p w14:paraId="1385D356" w14:textId="68C43421" w:rsidR="006C282E" w:rsidRPr="00133FB1" w:rsidRDefault="006C282E" w:rsidP="00B60D63">
            <w:pPr>
              <w:rPr>
                <w:rFonts w:ascii="Arial" w:hAnsi="Arial" w:cs="Arial"/>
                <w:lang w:val="fr-BE"/>
              </w:rPr>
            </w:pPr>
            <w:r w:rsidRPr="00133FB1">
              <w:rPr>
                <w:rFonts w:ascii="Arial" w:hAnsi="Arial" w:cs="Arial"/>
                <w:lang w:val="fr-BE"/>
              </w:rPr>
              <w:t xml:space="preserve">En </w:t>
            </w:r>
            <w:r w:rsidRPr="00133FB1">
              <w:rPr>
                <w:rFonts w:ascii="Arial" w:hAnsi="Arial" w:cs="Arial"/>
                <w:highlight w:val="yellow"/>
                <w:lang w:val="fr-BE"/>
              </w:rPr>
              <w:t>jaune</w:t>
            </w:r>
            <w:r w:rsidRPr="00133FB1">
              <w:rPr>
                <w:rFonts w:ascii="Arial" w:hAnsi="Arial" w:cs="Arial"/>
                <w:lang w:val="fr-BE"/>
              </w:rPr>
              <w:t>, nous indiquons les modifications par rapport aux dispositions existantes de la loi NIS.</w:t>
            </w:r>
          </w:p>
        </w:tc>
        <w:tc>
          <w:tcPr>
            <w:tcW w:w="4511" w:type="dxa"/>
          </w:tcPr>
          <w:p w14:paraId="1009558C" w14:textId="2242B643" w:rsidR="006C282E" w:rsidRPr="00133FB1" w:rsidRDefault="006C282E" w:rsidP="00B60D63">
            <w:pPr>
              <w:rPr>
                <w:rFonts w:ascii="Arial" w:hAnsi="Arial" w:cs="Arial"/>
                <w:lang w:val="nl-BE"/>
              </w:rPr>
            </w:pPr>
            <w:r w:rsidRPr="00133FB1">
              <w:rPr>
                <w:rFonts w:ascii="Arial" w:hAnsi="Arial" w:cs="Arial"/>
                <w:lang w:val="nl-BE"/>
              </w:rPr>
              <w:t xml:space="preserve">In het </w:t>
            </w:r>
            <w:r w:rsidRPr="00133FB1">
              <w:rPr>
                <w:rFonts w:ascii="Arial" w:hAnsi="Arial" w:cs="Arial"/>
                <w:highlight w:val="yellow"/>
                <w:lang w:val="nl-BE"/>
              </w:rPr>
              <w:t>geel</w:t>
            </w:r>
            <w:r w:rsidRPr="00133FB1">
              <w:rPr>
                <w:rFonts w:ascii="Arial" w:hAnsi="Arial" w:cs="Arial"/>
                <w:lang w:val="nl-BE"/>
              </w:rPr>
              <w:t xml:space="preserve"> hebben we de wijzigingen ten opzichte van de bestaande bepalingen van de </w:t>
            </w:r>
            <w:proofErr w:type="spellStart"/>
            <w:r w:rsidRPr="00133FB1">
              <w:rPr>
                <w:rFonts w:ascii="Arial" w:hAnsi="Arial" w:cs="Arial"/>
                <w:lang w:val="nl-BE"/>
              </w:rPr>
              <w:t>NISwet</w:t>
            </w:r>
            <w:proofErr w:type="spellEnd"/>
            <w:r w:rsidRPr="00133FB1">
              <w:rPr>
                <w:rFonts w:ascii="Arial" w:hAnsi="Arial" w:cs="Arial"/>
                <w:lang w:val="nl-BE"/>
              </w:rPr>
              <w:t xml:space="preserve"> aangeduid.</w:t>
            </w:r>
          </w:p>
        </w:tc>
      </w:tr>
      <w:tr w:rsidR="006C282E" w:rsidRPr="00F93F53" w14:paraId="7E804141" w14:textId="77777777" w:rsidTr="00B60D63">
        <w:tc>
          <w:tcPr>
            <w:tcW w:w="4510" w:type="dxa"/>
          </w:tcPr>
          <w:p w14:paraId="5F666392" w14:textId="77777777" w:rsidR="006C282E" w:rsidRPr="00133FB1" w:rsidRDefault="006C282E" w:rsidP="00B60D63">
            <w:pPr>
              <w:rPr>
                <w:rFonts w:ascii="Arial" w:hAnsi="Arial" w:cs="Arial"/>
                <w:lang w:val="fr-BE"/>
              </w:rPr>
            </w:pPr>
            <w:r w:rsidRPr="00133FB1">
              <w:rPr>
                <w:rFonts w:ascii="Arial" w:hAnsi="Arial" w:cs="Arial"/>
                <w:lang w:val="fr-BE"/>
              </w:rPr>
              <w:t xml:space="preserve">Ce qui est ajouté est surligné (ex : </w:t>
            </w:r>
            <w:r w:rsidRPr="00133FB1">
              <w:rPr>
                <w:rFonts w:ascii="Arial" w:hAnsi="Arial" w:cs="Arial"/>
                <w:u w:val="single"/>
                <w:lang w:val="fr-BE"/>
              </w:rPr>
              <w:t>XXX</w:t>
            </w:r>
            <w:r w:rsidRPr="00133FB1">
              <w:rPr>
                <w:rFonts w:ascii="Arial" w:hAnsi="Arial" w:cs="Arial"/>
                <w:lang w:val="fr-BE"/>
              </w:rPr>
              <w:t xml:space="preserve">) et ce qui est supprimé est barré (ex : </w:t>
            </w:r>
            <w:r w:rsidRPr="00133FB1">
              <w:rPr>
                <w:rFonts w:ascii="Arial" w:hAnsi="Arial" w:cs="Arial"/>
                <w:strike/>
                <w:lang w:val="fr-BE"/>
              </w:rPr>
              <w:t>XXX</w:t>
            </w:r>
            <w:r w:rsidRPr="00133FB1">
              <w:rPr>
                <w:rFonts w:ascii="Arial" w:hAnsi="Arial" w:cs="Arial"/>
                <w:lang w:val="fr-BE"/>
              </w:rPr>
              <w:t xml:space="preserve">). </w:t>
            </w:r>
          </w:p>
        </w:tc>
        <w:tc>
          <w:tcPr>
            <w:tcW w:w="4511" w:type="dxa"/>
          </w:tcPr>
          <w:p w14:paraId="7606D0AC" w14:textId="77777777" w:rsidR="006C282E" w:rsidRPr="00133FB1" w:rsidRDefault="006C282E" w:rsidP="00B60D63">
            <w:pPr>
              <w:rPr>
                <w:rFonts w:ascii="Arial" w:hAnsi="Arial" w:cs="Arial"/>
                <w:lang w:val="nl-BE"/>
              </w:rPr>
            </w:pPr>
            <w:r w:rsidRPr="00133FB1">
              <w:rPr>
                <w:rFonts w:ascii="Arial" w:hAnsi="Arial" w:cs="Arial"/>
                <w:lang w:val="nl-BE"/>
              </w:rPr>
              <w:t xml:space="preserve">Wat werd toegevoegd, is onderlijnd (bijv.: </w:t>
            </w:r>
            <w:r w:rsidRPr="00133FB1">
              <w:rPr>
                <w:rFonts w:ascii="Arial" w:hAnsi="Arial" w:cs="Arial"/>
                <w:u w:val="single"/>
                <w:lang w:val="nl-BE"/>
              </w:rPr>
              <w:t>XXX</w:t>
            </w:r>
            <w:r w:rsidRPr="00133FB1">
              <w:rPr>
                <w:rFonts w:ascii="Arial" w:hAnsi="Arial" w:cs="Arial"/>
                <w:lang w:val="nl-BE"/>
              </w:rPr>
              <w:t xml:space="preserve">) en wat werd geschrapt, is doorgehaald (bijv.: </w:t>
            </w:r>
            <w:r w:rsidRPr="00133FB1">
              <w:rPr>
                <w:rFonts w:ascii="Arial" w:hAnsi="Arial" w:cs="Arial"/>
                <w:strike/>
                <w:lang w:val="nl-BE"/>
              </w:rPr>
              <w:t>XXX</w:t>
            </w:r>
            <w:r w:rsidRPr="00133FB1">
              <w:rPr>
                <w:rFonts w:ascii="Arial" w:hAnsi="Arial" w:cs="Arial"/>
                <w:lang w:val="nl-BE"/>
              </w:rPr>
              <w:t>).</w:t>
            </w:r>
          </w:p>
        </w:tc>
      </w:tr>
    </w:tbl>
    <w:p w14:paraId="3603F15B" w14:textId="504EF0A5" w:rsidR="006C282E" w:rsidRPr="00133FB1" w:rsidRDefault="006C282E" w:rsidP="006C282E">
      <w:pPr>
        <w:jc w:val="center"/>
        <w:rPr>
          <w:lang w:val="nl-BE"/>
        </w:rPr>
      </w:pPr>
    </w:p>
    <w:tbl>
      <w:tblPr>
        <w:tblStyle w:val="TableGrid"/>
        <w:tblW w:w="0" w:type="auto"/>
        <w:tblLook w:val="04A0" w:firstRow="1" w:lastRow="0" w:firstColumn="1" w:lastColumn="0" w:noHBand="0" w:noVBand="1"/>
      </w:tblPr>
      <w:tblGrid>
        <w:gridCol w:w="4508"/>
        <w:gridCol w:w="4508"/>
      </w:tblGrid>
      <w:tr w:rsidR="00FA5F98" w:rsidRPr="00F93F53" w14:paraId="69E4C1D0" w14:textId="77777777" w:rsidTr="00ED636C">
        <w:tc>
          <w:tcPr>
            <w:tcW w:w="4508" w:type="dxa"/>
          </w:tcPr>
          <w:p w14:paraId="11570EFF" w14:textId="77777777" w:rsidR="00EA3576" w:rsidRPr="00133FB1" w:rsidRDefault="00EA3576" w:rsidP="006A1282">
            <w:pPr>
              <w:jc w:val="both"/>
              <w:rPr>
                <w:rFonts w:ascii="Arial" w:hAnsi="Arial" w:cs="Arial"/>
                <w:b/>
                <w:bCs/>
                <w:lang w:val="nl-BE"/>
              </w:rPr>
            </w:pPr>
          </w:p>
          <w:p w14:paraId="491BA38C" w14:textId="7D5E01B2" w:rsidR="00FA5F98" w:rsidRPr="00A75E59" w:rsidRDefault="00EA3576" w:rsidP="006A1282">
            <w:pPr>
              <w:jc w:val="both"/>
              <w:rPr>
                <w:rFonts w:ascii="Arial" w:hAnsi="Arial" w:cs="Arial"/>
                <w:b/>
                <w:bCs/>
                <w:lang w:val="fr-BE"/>
              </w:rPr>
            </w:pPr>
            <w:r w:rsidRPr="00A75E59">
              <w:rPr>
                <w:rFonts w:ascii="Arial" w:hAnsi="Arial" w:cs="Arial"/>
                <w:b/>
                <w:bCs/>
                <w:lang w:val="fr-BE"/>
              </w:rPr>
              <w:t>L</w:t>
            </w:r>
            <w:r w:rsidR="008A36ED" w:rsidRPr="00A75E59">
              <w:rPr>
                <w:rFonts w:ascii="Arial" w:hAnsi="Arial" w:cs="Arial"/>
                <w:b/>
                <w:bCs/>
                <w:lang w:val="fr-BE"/>
              </w:rPr>
              <w:t>a loi du 7 avril 2019 établissant un cadre pour la sécurité des réseaux et des systèmes d'information d'intérêt général pour la sécurité publique (« loi NIS »)</w:t>
            </w:r>
            <w:r w:rsidR="00443A25" w:rsidRPr="00A75E59">
              <w:rPr>
                <w:rFonts w:ascii="Arial" w:hAnsi="Arial" w:cs="Arial"/>
                <w:b/>
                <w:bCs/>
                <w:lang w:val="fr-BE"/>
              </w:rPr>
              <w:t>.</w:t>
            </w:r>
          </w:p>
        </w:tc>
        <w:tc>
          <w:tcPr>
            <w:tcW w:w="4508" w:type="dxa"/>
          </w:tcPr>
          <w:p w14:paraId="445E1F54" w14:textId="0D78BCF6" w:rsidR="00FA5F98" w:rsidRPr="00A75E59" w:rsidRDefault="00EA3576">
            <w:pPr>
              <w:spacing w:before="240" w:after="120"/>
              <w:jc w:val="both"/>
              <w:rPr>
                <w:rFonts w:ascii="Arial" w:hAnsi="Arial" w:cs="Arial"/>
                <w:b/>
                <w:bCs/>
                <w:lang w:val="nl-NL"/>
              </w:rPr>
            </w:pPr>
            <w:r w:rsidRPr="00A75E59">
              <w:rPr>
                <w:rFonts w:ascii="Arial" w:hAnsi="Arial" w:cs="Arial"/>
                <w:b/>
                <w:bCs/>
                <w:lang w:val="nl-BE"/>
              </w:rPr>
              <w:t>D</w:t>
            </w:r>
            <w:r w:rsidR="007E5A99" w:rsidRPr="00A75E59">
              <w:rPr>
                <w:rFonts w:ascii="Arial" w:hAnsi="Arial" w:cs="Arial"/>
                <w:b/>
                <w:bCs/>
                <w:lang w:val="nl-NL"/>
              </w:rPr>
              <w:t>e wet van 7 april 2019 tot vaststelling van een kader voor de beveiliging van netwerk-</w:t>
            </w:r>
            <w:r w:rsidR="00A25BEB" w:rsidRPr="00A75E59">
              <w:rPr>
                <w:rFonts w:ascii="Arial" w:hAnsi="Arial" w:cs="Arial"/>
                <w:b/>
                <w:bCs/>
                <w:lang w:val="nl-NL"/>
              </w:rPr>
              <w:t xml:space="preserve"> </w:t>
            </w:r>
            <w:r w:rsidR="007E5A99" w:rsidRPr="00A75E59">
              <w:rPr>
                <w:rFonts w:ascii="Arial" w:hAnsi="Arial" w:cs="Arial"/>
                <w:b/>
                <w:bCs/>
                <w:lang w:val="nl-NL"/>
              </w:rPr>
              <w:t>en informatiesystemen van algemeen belang voor de openbare veiligheid (“NIS-wet”)</w:t>
            </w:r>
            <w:r w:rsidR="00443A25" w:rsidRPr="00A75E59">
              <w:rPr>
                <w:rFonts w:ascii="Arial" w:hAnsi="Arial" w:cs="Arial"/>
                <w:b/>
                <w:bCs/>
                <w:lang w:val="nl-NL"/>
              </w:rPr>
              <w:t>.</w:t>
            </w:r>
          </w:p>
        </w:tc>
      </w:tr>
      <w:tr w:rsidR="00F93F53" w:rsidRPr="00F93F53" w14:paraId="39142E92" w14:textId="77777777" w:rsidTr="00ED636C">
        <w:tc>
          <w:tcPr>
            <w:tcW w:w="4508" w:type="dxa"/>
          </w:tcPr>
          <w:p w14:paraId="55FEADBE" w14:textId="2CC37BDE" w:rsidR="00F93F53" w:rsidRPr="00133FB1" w:rsidRDefault="00F93F53" w:rsidP="00F93F53">
            <w:pPr>
              <w:spacing w:before="240" w:after="120"/>
              <w:jc w:val="both"/>
              <w:rPr>
                <w:rFonts w:ascii="Arial" w:hAnsi="Arial" w:cs="Arial"/>
                <w:b/>
                <w:bCs/>
                <w:lang w:val="nl-BE"/>
              </w:rPr>
            </w:pPr>
            <w:r w:rsidRPr="00F93F53">
              <w:rPr>
                <w:rFonts w:ascii="Arial" w:hAnsi="Arial" w:cs="Arial"/>
                <w:b/>
                <w:lang w:val="nl-NL"/>
              </w:rPr>
              <w:t>Art. 62</w:t>
            </w:r>
            <w:r w:rsidRPr="00F93F53">
              <w:rPr>
                <w:rFonts w:ascii="Arial" w:hAnsi="Arial" w:cs="Arial"/>
                <w:b/>
                <w:lang w:val="nl-NL"/>
              </w:rPr>
              <w:t xml:space="preserve"> (art. 34 du dispositif)</w:t>
            </w:r>
          </w:p>
        </w:tc>
        <w:tc>
          <w:tcPr>
            <w:tcW w:w="4508" w:type="dxa"/>
          </w:tcPr>
          <w:p w14:paraId="265C2C17" w14:textId="4B6CDC76" w:rsidR="00F93F53" w:rsidRPr="00A75E59" w:rsidRDefault="00F93F53">
            <w:pPr>
              <w:spacing w:before="240" w:after="120"/>
              <w:jc w:val="both"/>
              <w:rPr>
                <w:rFonts w:ascii="Arial" w:hAnsi="Arial" w:cs="Arial"/>
                <w:b/>
                <w:bCs/>
                <w:lang w:val="nl-BE"/>
              </w:rPr>
            </w:pPr>
            <w:r w:rsidRPr="00A75E59">
              <w:rPr>
                <w:rFonts w:ascii="Arial" w:hAnsi="Arial" w:cs="Arial"/>
                <w:b/>
                <w:lang w:val="nl-NL"/>
              </w:rPr>
              <w:t>Art. 62</w:t>
            </w:r>
            <w:r>
              <w:rPr>
                <w:rFonts w:ascii="Arial" w:hAnsi="Arial" w:cs="Arial"/>
                <w:b/>
                <w:lang w:val="nl-NL"/>
              </w:rPr>
              <w:t xml:space="preserve"> (art. 34 van het dispositief) </w:t>
            </w:r>
          </w:p>
        </w:tc>
      </w:tr>
      <w:tr w:rsidR="00FA5F98" w:rsidRPr="00F93F53" w14:paraId="12703BDC" w14:textId="77777777" w:rsidTr="00ED636C">
        <w:tc>
          <w:tcPr>
            <w:tcW w:w="4508" w:type="dxa"/>
          </w:tcPr>
          <w:p w14:paraId="4C4D2044" w14:textId="77777777" w:rsidR="00443A25" w:rsidRPr="00A75E59" w:rsidRDefault="00443A25" w:rsidP="006A1282">
            <w:pPr>
              <w:jc w:val="both"/>
              <w:rPr>
                <w:rFonts w:ascii="Arial" w:hAnsi="Arial" w:cs="Arial"/>
                <w:lang w:val="nl-NL"/>
              </w:rPr>
            </w:pPr>
          </w:p>
          <w:p w14:paraId="7FE28E74" w14:textId="3D3C8F3B" w:rsidR="00FA5F98" w:rsidRPr="00A75E59" w:rsidRDefault="00EF7F87" w:rsidP="006A1282">
            <w:pPr>
              <w:jc w:val="both"/>
              <w:rPr>
                <w:rFonts w:ascii="Arial" w:hAnsi="Arial" w:cs="Arial"/>
                <w:lang w:val="fr-BE"/>
              </w:rPr>
            </w:pPr>
            <w:r w:rsidRPr="00546795">
              <w:rPr>
                <w:rFonts w:ascii="Arial" w:hAnsi="Arial" w:cs="Arial"/>
                <w:highlight w:val="yellow"/>
                <w:u w:val="single"/>
                <w:lang w:val="fr-BE"/>
              </w:rPr>
              <w:t>§ 1</w:t>
            </w:r>
            <w:r w:rsidR="002308E3" w:rsidRPr="00546795">
              <w:rPr>
                <w:rFonts w:ascii="Arial" w:hAnsi="Arial" w:cs="Arial"/>
                <w:highlight w:val="yellow"/>
                <w:u w:val="single"/>
                <w:vertAlign w:val="superscript"/>
                <w:lang w:val="fr-BE"/>
              </w:rPr>
              <w:t>er</w:t>
            </w:r>
            <w:r w:rsidRPr="00546795">
              <w:rPr>
                <w:rFonts w:ascii="Arial" w:hAnsi="Arial" w:cs="Arial"/>
                <w:highlight w:val="yellow"/>
                <w:u w:val="single"/>
                <w:lang w:val="fr-BE"/>
              </w:rPr>
              <w:t>.</w:t>
            </w:r>
            <w:r w:rsidRPr="00A75E59">
              <w:rPr>
                <w:rFonts w:ascii="Arial" w:hAnsi="Arial" w:cs="Arial"/>
                <w:lang w:val="fr-BE"/>
              </w:rPr>
              <w:t xml:space="preserve"> Dans le cadre de l'exercice de ses compétences, le CSIRT national prend toutes les mesures adéquates afin de réaliser les objectifs définis aux articles 60 et 61. Ces mesures doivent être proportionnelles à ces objectifs, et respecter les principes d'objectivité, de transparence et de non-discrimination.</w:t>
            </w:r>
          </w:p>
        </w:tc>
        <w:tc>
          <w:tcPr>
            <w:tcW w:w="4508" w:type="dxa"/>
          </w:tcPr>
          <w:p w14:paraId="317FE490" w14:textId="1EF083CF" w:rsidR="00FA5F98" w:rsidRPr="00A75E59" w:rsidRDefault="003C795A">
            <w:pPr>
              <w:spacing w:before="240" w:after="120"/>
              <w:jc w:val="both"/>
              <w:rPr>
                <w:rFonts w:ascii="Arial" w:hAnsi="Arial" w:cs="Arial"/>
                <w:lang w:val="nl-BE"/>
              </w:rPr>
            </w:pPr>
            <w:r w:rsidRPr="00546795">
              <w:rPr>
                <w:rFonts w:ascii="Arial" w:hAnsi="Arial" w:cs="Arial"/>
                <w:highlight w:val="yellow"/>
                <w:u w:val="single"/>
                <w:lang w:val="nl-NL"/>
              </w:rPr>
              <w:t>§ 1.</w:t>
            </w:r>
            <w:r w:rsidRPr="00A75E59">
              <w:rPr>
                <w:rFonts w:ascii="Arial" w:hAnsi="Arial" w:cs="Arial"/>
                <w:lang w:val="nl-NL"/>
              </w:rPr>
              <w:t xml:space="preserve"> In het kader van de uitoefening van zijn bevoegdheden neemt het nationale CSIRT alle passende maatregelen om de in de artikelen 60 en 61 bepaalde doelstellingen te verwezenlijken. Deze maatregelen moeten evenredig zijn met die doelstellingen en in overeenstemming met de beginselen van objectiviteit, transparantie en non-discriminatie.</w:t>
            </w:r>
          </w:p>
        </w:tc>
      </w:tr>
      <w:tr w:rsidR="00FA5F98" w:rsidRPr="00F93F53" w14:paraId="6A184CDC" w14:textId="77777777" w:rsidTr="00ED636C">
        <w:tc>
          <w:tcPr>
            <w:tcW w:w="4508" w:type="dxa"/>
          </w:tcPr>
          <w:p w14:paraId="1C10143D" w14:textId="77777777" w:rsidR="00443A25" w:rsidRPr="00A75E59" w:rsidRDefault="00443A25" w:rsidP="006A1282">
            <w:pPr>
              <w:jc w:val="both"/>
              <w:rPr>
                <w:rFonts w:ascii="Arial" w:hAnsi="Arial" w:cs="Arial"/>
                <w:u w:val="single"/>
                <w:lang w:val="nl-NL"/>
              </w:rPr>
            </w:pPr>
          </w:p>
          <w:p w14:paraId="16256783" w14:textId="703B405D" w:rsidR="002A17B2" w:rsidRPr="00133FB1" w:rsidRDefault="002A17B2" w:rsidP="002A17B2">
            <w:pPr>
              <w:jc w:val="both"/>
              <w:rPr>
                <w:rFonts w:ascii="Arial" w:hAnsi="Arial" w:cs="Arial"/>
                <w:highlight w:val="yellow"/>
                <w:u w:val="single"/>
                <w:lang w:val="fr-BE"/>
              </w:rPr>
            </w:pPr>
            <w:bookmarkStart w:id="0" w:name="_Hlk65500236"/>
            <w:bookmarkStart w:id="1" w:name="_Hlk65501153"/>
            <w:r w:rsidRPr="00133FB1">
              <w:rPr>
                <w:rFonts w:ascii="Arial" w:hAnsi="Arial" w:cs="Arial"/>
                <w:highlight w:val="yellow"/>
                <w:u w:val="single"/>
                <w:lang w:val="fr-BE"/>
              </w:rPr>
              <w:t xml:space="preserve">§ 2. Lorsque cela s’avère </w:t>
            </w:r>
            <w:r w:rsidR="00084C48" w:rsidRPr="00133FB1">
              <w:rPr>
                <w:rFonts w:ascii="Arial" w:hAnsi="Arial" w:cs="Arial"/>
                <w:highlight w:val="yellow"/>
                <w:u w:val="single"/>
                <w:lang w:val="fr-BE"/>
              </w:rPr>
              <w:t xml:space="preserve">strictement </w:t>
            </w:r>
            <w:r w:rsidRPr="00133FB1">
              <w:rPr>
                <w:rFonts w:ascii="Arial" w:hAnsi="Arial" w:cs="Arial"/>
                <w:highlight w:val="yellow"/>
                <w:u w:val="single"/>
                <w:lang w:val="fr-BE"/>
              </w:rPr>
              <w:t>nécessaire à la réalisation de ses tâches énumérées</w:t>
            </w:r>
            <w:r w:rsidR="006751EE" w:rsidRPr="00133FB1">
              <w:rPr>
                <w:rFonts w:ascii="Arial" w:hAnsi="Arial" w:cs="Arial"/>
                <w:highlight w:val="yellow"/>
                <w:u w:val="single"/>
                <w:lang w:val="fr-BE"/>
              </w:rPr>
              <w:t xml:space="preserve"> </w:t>
            </w:r>
            <w:r w:rsidRPr="00133FB1">
              <w:rPr>
                <w:rFonts w:ascii="Arial" w:hAnsi="Arial" w:cs="Arial"/>
                <w:highlight w:val="yellow"/>
                <w:u w:val="single"/>
                <w:lang w:val="fr-BE"/>
              </w:rPr>
              <w:t>à l’article 60</w:t>
            </w:r>
            <w:r w:rsidR="00371C43" w:rsidRPr="00133FB1">
              <w:rPr>
                <w:rFonts w:ascii="Arial" w:hAnsi="Arial" w:cs="Arial"/>
                <w:highlight w:val="yellow"/>
                <w:u w:val="single"/>
                <w:lang w:val="fr-BE"/>
              </w:rPr>
              <w:t>,</w:t>
            </w:r>
            <w:r w:rsidRPr="00133FB1">
              <w:rPr>
                <w:rFonts w:ascii="Arial" w:hAnsi="Arial" w:cs="Arial"/>
                <w:highlight w:val="yellow"/>
                <w:u w:val="single"/>
                <w:lang w:val="fr-BE"/>
              </w:rPr>
              <w:t xml:space="preserve"> </w:t>
            </w:r>
            <w:r w:rsidR="00A42003" w:rsidRPr="00133FB1">
              <w:rPr>
                <w:rFonts w:ascii="Arial" w:hAnsi="Arial" w:cs="Arial"/>
                <w:highlight w:val="yellow"/>
                <w:u w:val="single"/>
                <w:lang w:val="fr-BE"/>
              </w:rPr>
              <w:t>a) à e)</w:t>
            </w:r>
            <w:r w:rsidR="002308E3" w:rsidRPr="00133FB1">
              <w:rPr>
                <w:rFonts w:ascii="Arial" w:hAnsi="Arial" w:cs="Arial"/>
                <w:highlight w:val="yellow"/>
                <w:u w:val="single"/>
                <w:lang w:val="fr-BE"/>
              </w:rPr>
              <w:t>,</w:t>
            </w:r>
            <w:r w:rsidR="00A42003" w:rsidRPr="00133FB1">
              <w:rPr>
                <w:rFonts w:ascii="Arial" w:hAnsi="Arial" w:cs="Arial"/>
                <w:highlight w:val="yellow"/>
                <w:u w:val="single"/>
                <w:lang w:val="fr-BE"/>
              </w:rPr>
              <w:t xml:space="preserve"> </w:t>
            </w:r>
            <w:r w:rsidRPr="00133FB1">
              <w:rPr>
                <w:rFonts w:ascii="Arial" w:hAnsi="Arial" w:cs="Arial"/>
                <w:highlight w:val="yellow"/>
                <w:u w:val="single"/>
                <w:lang w:val="fr-BE"/>
              </w:rPr>
              <w:t>de la présente loi, le CSIRT national peut obtenir des opérateurs, au sens de l’article 2, 11°</w:t>
            </w:r>
            <w:r w:rsidR="00A25BEB" w:rsidRPr="00133FB1">
              <w:rPr>
                <w:rFonts w:ascii="Arial" w:hAnsi="Arial" w:cs="Arial"/>
                <w:highlight w:val="yellow"/>
                <w:u w:val="single"/>
                <w:lang w:val="fr-BE"/>
              </w:rPr>
              <w:t>,</w:t>
            </w:r>
            <w:r w:rsidRPr="00133FB1">
              <w:rPr>
                <w:rFonts w:ascii="Arial" w:hAnsi="Arial" w:cs="Arial"/>
                <w:highlight w:val="yellow"/>
                <w:u w:val="single"/>
                <w:lang w:val="fr-BE"/>
              </w:rPr>
              <w:t xml:space="preserve"> de la loi du 13 juin 2005 relative aux communications électroniques, des données d’identification, de trafic ou de localisation conservées par ceux-ci. </w:t>
            </w:r>
          </w:p>
          <w:p w14:paraId="3400BB92" w14:textId="77777777" w:rsidR="002A17B2" w:rsidRPr="00133FB1" w:rsidRDefault="002A17B2" w:rsidP="002A17B2">
            <w:pPr>
              <w:jc w:val="both"/>
              <w:rPr>
                <w:rFonts w:ascii="Arial" w:hAnsi="Arial" w:cs="Arial"/>
                <w:highlight w:val="yellow"/>
                <w:u w:val="single"/>
                <w:lang w:val="fr-BE"/>
              </w:rPr>
            </w:pPr>
          </w:p>
          <w:p w14:paraId="1B28A59C" w14:textId="0B80A52E" w:rsidR="002A17B2" w:rsidRPr="00133FB1" w:rsidRDefault="002A17B2" w:rsidP="002A17B2">
            <w:pPr>
              <w:jc w:val="both"/>
              <w:rPr>
                <w:rFonts w:ascii="Arial" w:hAnsi="Arial" w:cs="Arial"/>
                <w:u w:val="single"/>
                <w:lang w:val="fr-BE"/>
              </w:rPr>
            </w:pPr>
            <w:r w:rsidRPr="00133FB1">
              <w:rPr>
                <w:rFonts w:ascii="Arial" w:hAnsi="Arial" w:cs="Arial"/>
                <w:highlight w:val="yellow"/>
                <w:u w:val="single"/>
                <w:lang w:val="fr-BE"/>
              </w:rPr>
              <w:t>Les fonctionnaires dirigeants du CSIRT national désignent expressément les personnes habilité</w:t>
            </w:r>
            <w:r w:rsidR="001364C7" w:rsidRPr="00133FB1">
              <w:rPr>
                <w:rFonts w:ascii="Arial" w:hAnsi="Arial" w:cs="Arial"/>
                <w:highlight w:val="yellow"/>
                <w:u w:val="single"/>
                <w:lang w:val="fr-BE"/>
              </w:rPr>
              <w:t>e</w:t>
            </w:r>
            <w:r w:rsidRPr="00133FB1">
              <w:rPr>
                <w:rFonts w:ascii="Arial" w:hAnsi="Arial" w:cs="Arial"/>
                <w:highlight w:val="yellow"/>
                <w:u w:val="single"/>
                <w:lang w:val="fr-BE"/>
              </w:rPr>
              <w:t>s</w:t>
            </w:r>
            <w:r w:rsidR="00527DA0" w:rsidRPr="00133FB1">
              <w:rPr>
                <w:rFonts w:ascii="Arial" w:hAnsi="Arial" w:cs="Arial"/>
                <w:highlight w:val="yellow"/>
                <w:u w:val="single"/>
                <w:lang w:val="fr-BE"/>
              </w:rPr>
              <w:t xml:space="preserve"> </w:t>
            </w:r>
            <w:r w:rsidRPr="00133FB1">
              <w:rPr>
                <w:rFonts w:ascii="Arial" w:hAnsi="Arial" w:cs="Arial"/>
                <w:highlight w:val="yellow"/>
                <w:u w:val="single"/>
                <w:lang w:val="fr-BE"/>
              </w:rPr>
              <w:t>à solliciter ces informations auprès des opérateurs visés à l’alinéa 1</w:t>
            </w:r>
            <w:r w:rsidRPr="00133FB1">
              <w:rPr>
                <w:rFonts w:ascii="Arial" w:hAnsi="Arial" w:cs="Arial"/>
                <w:highlight w:val="yellow"/>
                <w:u w:val="single"/>
                <w:vertAlign w:val="superscript"/>
                <w:lang w:val="fr-BE"/>
              </w:rPr>
              <w:t>er</w:t>
            </w:r>
            <w:r w:rsidR="00527DA0" w:rsidRPr="00133FB1">
              <w:rPr>
                <w:rFonts w:ascii="Arial" w:hAnsi="Arial" w:cs="Arial"/>
                <w:highlight w:val="yellow"/>
                <w:u w:val="single"/>
                <w:lang w:val="fr-BE"/>
              </w:rPr>
              <w:t xml:space="preserve"> et à les traiter.</w:t>
            </w:r>
          </w:p>
          <w:bookmarkEnd w:id="0"/>
          <w:bookmarkEnd w:id="1"/>
          <w:p w14:paraId="2B27AD68" w14:textId="719EAA07" w:rsidR="00912B3D" w:rsidRPr="00A75E59" w:rsidRDefault="00912B3D" w:rsidP="00852E07">
            <w:pPr>
              <w:jc w:val="both"/>
              <w:rPr>
                <w:rFonts w:ascii="Arial" w:hAnsi="Arial" w:cs="Arial"/>
                <w:u w:val="single"/>
                <w:lang w:val="fr-BE"/>
              </w:rPr>
            </w:pPr>
          </w:p>
        </w:tc>
        <w:tc>
          <w:tcPr>
            <w:tcW w:w="4508" w:type="dxa"/>
          </w:tcPr>
          <w:p w14:paraId="1101DF0C" w14:textId="663F5670" w:rsidR="00852E07" w:rsidRPr="00133FB1" w:rsidRDefault="00852E07" w:rsidP="00852E07">
            <w:pPr>
              <w:spacing w:before="240" w:after="120"/>
              <w:jc w:val="both"/>
              <w:rPr>
                <w:rFonts w:ascii="Arial" w:hAnsi="Arial" w:cs="Arial"/>
                <w:highlight w:val="yellow"/>
                <w:u w:val="single"/>
                <w:lang w:val="nl-NL"/>
              </w:rPr>
            </w:pPr>
            <w:bookmarkStart w:id="2" w:name="_Hlk65501186"/>
            <w:bookmarkStart w:id="3" w:name="_Hlk67414849"/>
            <w:r w:rsidRPr="00133FB1">
              <w:rPr>
                <w:rFonts w:ascii="Arial" w:hAnsi="Arial" w:cs="Arial"/>
                <w:highlight w:val="yellow"/>
                <w:u w:val="single"/>
                <w:lang w:val="nl-NL"/>
              </w:rPr>
              <w:t xml:space="preserve">§ 2. </w:t>
            </w:r>
            <w:r w:rsidR="002F695D" w:rsidRPr="00133FB1">
              <w:rPr>
                <w:rFonts w:ascii="Arial" w:hAnsi="Arial" w:cs="Arial"/>
                <w:highlight w:val="yellow"/>
                <w:u w:val="single"/>
                <w:lang w:val="nl-NL"/>
              </w:rPr>
              <w:t xml:space="preserve">Indien </w:t>
            </w:r>
            <w:r w:rsidRPr="00133FB1">
              <w:rPr>
                <w:rFonts w:ascii="Arial" w:hAnsi="Arial" w:cs="Arial"/>
                <w:highlight w:val="yellow"/>
                <w:u w:val="single"/>
                <w:lang w:val="nl-NL"/>
              </w:rPr>
              <w:t xml:space="preserve">dat </w:t>
            </w:r>
            <w:r w:rsidR="00A25BEB" w:rsidRPr="00133FB1">
              <w:rPr>
                <w:rFonts w:ascii="Arial" w:hAnsi="Arial" w:cs="Arial"/>
                <w:highlight w:val="yellow"/>
                <w:u w:val="single"/>
                <w:lang w:val="nl-NL"/>
              </w:rPr>
              <w:t xml:space="preserve">strikt noodzakelijk </w:t>
            </w:r>
            <w:r w:rsidRPr="00133FB1">
              <w:rPr>
                <w:rFonts w:ascii="Arial" w:hAnsi="Arial" w:cs="Arial"/>
                <w:highlight w:val="yellow"/>
                <w:u w:val="single"/>
                <w:lang w:val="nl-NL"/>
              </w:rPr>
              <w:t>is voor de uitvoering van zijn taken opgesomd in artikel 60</w:t>
            </w:r>
            <w:r w:rsidR="00A25BEB" w:rsidRPr="00133FB1">
              <w:rPr>
                <w:rFonts w:ascii="Arial" w:hAnsi="Arial" w:cs="Arial"/>
                <w:highlight w:val="yellow"/>
                <w:u w:val="single"/>
                <w:lang w:val="nl-NL"/>
              </w:rPr>
              <w:t>,</w:t>
            </w:r>
            <w:r w:rsidRPr="00133FB1">
              <w:rPr>
                <w:rFonts w:ascii="Arial" w:hAnsi="Arial" w:cs="Arial"/>
                <w:highlight w:val="yellow"/>
                <w:u w:val="single"/>
                <w:lang w:val="nl-NL"/>
              </w:rPr>
              <w:t xml:space="preserve"> </w:t>
            </w:r>
            <w:r w:rsidR="00A42003" w:rsidRPr="00133FB1">
              <w:rPr>
                <w:rFonts w:ascii="Arial" w:hAnsi="Arial" w:cs="Arial"/>
                <w:highlight w:val="yellow"/>
                <w:u w:val="single"/>
                <w:lang w:val="nl-NL"/>
              </w:rPr>
              <w:t xml:space="preserve">a) </w:t>
            </w:r>
            <w:r w:rsidR="00A25BEB" w:rsidRPr="00133FB1">
              <w:rPr>
                <w:rFonts w:ascii="Arial" w:hAnsi="Arial" w:cs="Arial"/>
                <w:highlight w:val="yellow"/>
                <w:u w:val="single"/>
                <w:lang w:val="nl-NL"/>
              </w:rPr>
              <w:t>tot</w:t>
            </w:r>
            <w:r w:rsidR="00A42003" w:rsidRPr="00133FB1">
              <w:rPr>
                <w:rFonts w:ascii="Arial" w:hAnsi="Arial" w:cs="Arial"/>
                <w:highlight w:val="yellow"/>
                <w:u w:val="single"/>
                <w:lang w:val="nl-NL"/>
              </w:rPr>
              <w:t xml:space="preserve"> e)</w:t>
            </w:r>
            <w:r w:rsidR="00A25BEB" w:rsidRPr="00133FB1">
              <w:rPr>
                <w:rFonts w:ascii="Arial" w:hAnsi="Arial" w:cs="Arial"/>
                <w:highlight w:val="yellow"/>
                <w:u w:val="single"/>
                <w:lang w:val="nl-NL"/>
              </w:rPr>
              <w:t>,</w:t>
            </w:r>
            <w:r w:rsidR="00A42003" w:rsidRPr="00133FB1">
              <w:rPr>
                <w:rFonts w:ascii="Arial" w:hAnsi="Arial" w:cs="Arial"/>
                <w:highlight w:val="yellow"/>
                <w:u w:val="single"/>
                <w:lang w:val="nl-NL"/>
              </w:rPr>
              <w:t xml:space="preserve"> </w:t>
            </w:r>
            <w:r w:rsidRPr="00133FB1">
              <w:rPr>
                <w:rFonts w:ascii="Arial" w:hAnsi="Arial" w:cs="Arial"/>
                <w:highlight w:val="yellow"/>
                <w:u w:val="single"/>
                <w:lang w:val="nl-NL"/>
              </w:rPr>
              <w:t>van deze wet, kan het nationale CSIRT van de operatoren, als bedoeld in artikel 2, 11°, van de wet van 13 juni 2005 betreffende de elektronische communicatie, identificatie-</w:t>
            </w:r>
            <w:r w:rsidR="00A25BEB" w:rsidRPr="00133FB1">
              <w:rPr>
                <w:rFonts w:ascii="Arial" w:hAnsi="Arial" w:cs="Arial"/>
                <w:highlight w:val="yellow"/>
                <w:u w:val="single"/>
                <w:lang w:val="nl-NL"/>
              </w:rPr>
              <w:t xml:space="preserve">, </w:t>
            </w:r>
            <w:r w:rsidRPr="00133FB1">
              <w:rPr>
                <w:rFonts w:ascii="Arial" w:hAnsi="Arial" w:cs="Arial"/>
                <w:highlight w:val="yellow"/>
                <w:u w:val="single"/>
                <w:lang w:val="nl-NL"/>
              </w:rPr>
              <w:t>verkeers</w:t>
            </w:r>
            <w:r w:rsidR="00A25BEB" w:rsidRPr="00133FB1">
              <w:rPr>
                <w:rFonts w:ascii="Arial" w:hAnsi="Arial" w:cs="Arial"/>
                <w:highlight w:val="yellow"/>
                <w:u w:val="single"/>
                <w:lang w:val="nl-NL"/>
              </w:rPr>
              <w:t>- of locatie</w:t>
            </w:r>
            <w:r w:rsidRPr="00133FB1">
              <w:rPr>
                <w:rFonts w:ascii="Arial" w:hAnsi="Arial" w:cs="Arial"/>
                <w:highlight w:val="yellow"/>
                <w:u w:val="single"/>
                <w:lang w:val="nl-NL"/>
              </w:rPr>
              <w:t>gegevens die door hen worden bewaard, verkrijgen.</w:t>
            </w:r>
          </w:p>
          <w:p w14:paraId="0FD68131" w14:textId="77777777" w:rsidR="00852E07" w:rsidRPr="00133FB1" w:rsidRDefault="00852E07" w:rsidP="00852E07">
            <w:pPr>
              <w:jc w:val="both"/>
              <w:rPr>
                <w:rFonts w:ascii="Arial" w:hAnsi="Arial" w:cs="Arial"/>
                <w:highlight w:val="yellow"/>
                <w:u w:val="single"/>
                <w:lang w:val="nl-BE"/>
              </w:rPr>
            </w:pPr>
          </w:p>
          <w:p w14:paraId="2C34366A" w14:textId="5C606869" w:rsidR="00DA3047" w:rsidRPr="00A75E59" w:rsidRDefault="00852E07" w:rsidP="004D22FE">
            <w:pPr>
              <w:jc w:val="both"/>
              <w:rPr>
                <w:rFonts w:ascii="Arial" w:hAnsi="Arial" w:cs="Arial"/>
                <w:u w:val="single"/>
                <w:lang w:val="nl-BE"/>
              </w:rPr>
            </w:pPr>
            <w:r w:rsidRPr="00133FB1">
              <w:rPr>
                <w:rFonts w:ascii="Arial" w:hAnsi="Arial" w:cs="Arial"/>
                <w:highlight w:val="yellow"/>
                <w:u w:val="single"/>
                <w:lang w:val="nl-BE"/>
              </w:rPr>
              <w:t>De leidende ambtenaren van het nationale CSIRT wijzen uitdrukkelijk de personen aan die gemachtigd zijn om deze informatie op te vragen bij de operatoren bedoeld in het eerste lid</w:t>
            </w:r>
            <w:r w:rsidR="00122001" w:rsidRPr="00133FB1">
              <w:rPr>
                <w:rFonts w:ascii="Arial" w:hAnsi="Arial" w:cs="Arial"/>
                <w:highlight w:val="yellow"/>
                <w:u w:val="single"/>
                <w:lang w:val="nl-BE"/>
              </w:rPr>
              <w:t xml:space="preserve"> en </w:t>
            </w:r>
            <w:r w:rsidR="00DC7EA3" w:rsidRPr="00133FB1">
              <w:rPr>
                <w:rFonts w:ascii="Arial" w:hAnsi="Arial" w:cs="Arial"/>
                <w:highlight w:val="yellow"/>
                <w:u w:val="single"/>
                <w:lang w:val="nl-BE"/>
              </w:rPr>
              <w:t>om ze</w:t>
            </w:r>
            <w:r w:rsidR="00122001" w:rsidRPr="00133FB1">
              <w:rPr>
                <w:rFonts w:ascii="Arial" w:hAnsi="Arial" w:cs="Arial"/>
                <w:highlight w:val="yellow"/>
                <w:u w:val="single"/>
                <w:lang w:val="nl-BE"/>
              </w:rPr>
              <w:t xml:space="preserve"> te verwerken</w:t>
            </w:r>
            <w:r w:rsidRPr="00133FB1">
              <w:rPr>
                <w:rFonts w:ascii="Arial" w:hAnsi="Arial" w:cs="Arial"/>
                <w:highlight w:val="yellow"/>
                <w:u w:val="single"/>
                <w:lang w:val="nl-BE"/>
              </w:rPr>
              <w:t>.</w:t>
            </w:r>
            <w:bookmarkEnd w:id="2"/>
            <w:bookmarkEnd w:id="3"/>
          </w:p>
        </w:tc>
      </w:tr>
      <w:tr w:rsidR="00FA5F98" w:rsidRPr="00F93F53" w14:paraId="11D7EA3E" w14:textId="77777777" w:rsidTr="00ED636C">
        <w:tc>
          <w:tcPr>
            <w:tcW w:w="4508" w:type="dxa"/>
          </w:tcPr>
          <w:p w14:paraId="3A6B5E85" w14:textId="77777777" w:rsidR="00443A25" w:rsidRPr="00A75E59" w:rsidRDefault="00443A25" w:rsidP="00EF7F87">
            <w:pPr>
              <w:jc w:val="both"/>
              <w:rPr>
                <w:rFonts w:ascii="Arial" w:hAnsi="Arial" w:cs="Arial"/>
                <w:lang w:val="nl-BE"/>
              </w:rPr>
            </w:pPr>
          </w:p>
          <w:p w14:paraId="313E818E" w14:textId="6B586D70" w:rsidR="00EF7F87" w:rsidRPr="00A75E59" w:rsidRDefault="00EF7F87" w:rsidP="00EF7F87">
            <w:pPr>
              <w:jc w:val="both"/>
              <w:rPr>
                <w:rFonts w:ascii="Arial" w:hAnsi="Arial" w:cs="Arial"/>
                <w:lang w:val="fr-BE"/>
              </w:rPr>
            </w:pPr>
            <w:r w:rsidRPr="00546795">
              <w:rPr>
                <w:rFonts w:ascii="Arial" w:hAnsi="Arial" w:cs="Arial"/>
                <w:highlight w:val="yellow"/>
                <w:u w:val="single"/>
                <w:lang w:val="fr-BE"/>
              </w:rPr>
              <w:t>§ 3.</w:t>
            </w:r>
            <w:r w:rsidRPr="00A75E59">
              <w:rPr>
                <w:rFonts w:ascii="Arial" w:hAnsi="Arial" w:cs="Arial"/>
                <w:lang w:val="fr-BE"/>
              </w:rPr>
              <w:t xml:space="preserve"> Pour atteindre ces objectifs, le CSIRT national est autorisé à détenir, à divulguer à une autre personne, à diffuser ou à faire usage de toutes les informations </w:t>
            </w:r>
            <w:r w:rsidRPr="00A75E59">
              <w:rPr>
                <w:rFonts w:ascii="Arial" w:hAnsi="Arial" w:cs="Arial"/>
                <w:lang w:val="fr-BE"/>
              </w:rPr>
              <w:lastRenderedPageBreak/>
              <w:t>disponibles, même si celles-ci sont issues d'un accès non autorisé à un système informatique par un tiers.</w:t>
            </w:r>
          </w:p>
          <w:p w14:paraId="40EF22D7" w14:textId="77777777" w:rsidR="00FA5F98" w:rsidRPr="00A75E59" w:rsidRDefault="00FA5F98" w:rsidP="006A1282">
            <w:pPr>
              <w:jc w:val="both"/>
              <w:rPr>
                <w:rFonts w:ascii="Arial" w:hAnsi="Arial" w:cs="Arial"/>
                <w:lang w:val="fr-BE"/>
              </w:rPr>
            </w:pPr>
          </w:p>
        </w:tc>
        <w:tc>
          <w:tcPr>
            <w:tcW w:w="4508" w:type="dxa"/>
          </w:tcPr>
          <w:p w14:paraId="311871F1" w14:textId="360CAF77" w:rsidR="00FA5F98" w:rsidRPr="00A75E59" w:rsidRDefault="003C795A">
            <w:pPr>
              <w:spacing w:before="240" w:after="120"/>
              <w:jc w:val="both"/>
              <w:rPr>
                <w:rFonts w:ascii="Arial" w:hAnsi="Arial" w:cs="Arial"/>
                <w:lang w:val="nl-BE"/>
              </w:rPr>
            </w:pPr>
            <w:r w:rsidRPr="00546795">
              <w:rPr>
                <w:rFonts w:ascii="Arial" w:hAnsi="Arial" w:cs="Arial"/>
                <w:highlight w:val="yellow"/>
                <w:u w:val="single"/>
                <w:lang w:val="nl-NL"/>
              </w:rPr>
              <w:lastRenderedPageBreak/>
              <w:t>§ 3.</w:t>
            </w:r>
            <w:r w:rsidRPr="00A75E59">
              <w:rPr>
                <w:rFonts w:ascii="Arial" w:hAnsi="Arial" w:cs="Arial"/>
                <w:lang w:val="nl-NL"/>
              </w:rPr>
              <w:t xml:space="preserve"> Bij de verwezenlijking van die doelstellingen mag het nationale CSIRT alle beschikbare gegevens onder zich houden, aan een andere persoon onthullen of </w:t>
            </w:r>
            <w:r w:rsidRPr="00A75E59">
              <w:rPr>
                <w:rFonts w:ascii="Arial" w:hAnsi="Arial" w:cs="Arial"/>
                <w:lang w:val="nl-NL"/>
              </w:rPr>
              <w:lastRenderedPageBreak/>
              <w:t xml:space="preserve">verspreiden, of er enig gebruik van maken, zelfs als die gegevens voortkomen uit een </w:t>
            </w:r>
            <w:proofErr w:type="spellStart"/>
            <w:r w:rsidRPr="00A75E59">
              <w:rPr>
                <w:rFonts w:ascii="Arial" w:hAnsi="Arial" w:cs="Arial"/>
                <w:lang w:val="nl-NL"/>
              </w:rPr>
              <w:t>ongerechtigde</w:t>
            </w:r>
            <w:proofErr w:type="spellEnd"/>
            <w:r w:rsidRPr="00A75E59">
              <w:rPr>
                <w:rFonts w:ascii="Arial" w:hAnsi="Arial" w:cs="Arial"/>
                <w:lang w:val="nl-NL"/>
              </w:rPr>
              <w:t xml:space="preserve"> toegang tot een informaticasysteem door een derde.</w:t>
            </w:r>
          </w:p>
        </w:tc>
      </w:tr>
      <w:tr w:rsidR="00FA5F98" w:rsidRPr="00F93F53" w14:paraId="32203F3C" w14:textId="77777777" w:rsidTr="00ED636C">
        <w:tc>
          <w:tcPr>
            <w:tcW w:w="4508" w:type="dxa"/>
          </w:tcPr>
          <w:p w14:paraId="19D112D7" w14:textId="77777777" w:rsidR="00443A25" w:rsidRPr="00A75E59" w:rsidRDefault="00443A25" w:rsidP="006A1282">
            <w:pPr>
              <w:jc w:val="both"/>
              <w:rPr>
                <w:rFonts w:ascii="Arial" w:hAnsi="Arial" w:cs="Arial"/>
                <w:lang w:val="nl-BE"/>
              </w:rPr>
            </w:pPr>
          </w:p>
          <w:p w14:paraId="42361ACA" w14:textId="7AD72C37" w:rsidR="00FA5F98" w:rsidRPr="00A75E59" w:rsidRDefault="00EF7F87" w:rsidP="006A1282">
            <w:pPr>
              <w:jc w:val="both"/>
              <w:rPr>
                <w:rFonts w:ascii="Arial" w:hAnsi="Arial" w:cs="Arial"/>
                <w:lang w:val="fr-BE"/>
              </w:rPr>
            </w:pPr>
            <w:r w:rsidRPr="006C1C26">
              <w:rPr>
                <w:rFonts w:ascii="Arial" w:hAnsi="Arial" w:cs="Arial"/>
                <w:highlight w:val="yellow"/>
                <w:u w:val="single"/>
                <w:lang w:val="fr-BE"/>
              </w:rPr>
              <w:t>§ 4.</w:t>
            </w:r>
            <w:r w:rsidRPr="00A75E59">
              <w:rPr>
                <w:rFonts w:ascii="Arial" w:hAnsi="Arial" w:cs="Arial"/>
                <w:lang w:val="fr-BE"/>
              </w:rPr>
              <w:t xml:space="preserve"> Dans l'accomplissement de ses missions, le CSIRT national use de la prudence que l'on est en droit d'attendre d'une autorité publique, en veillant toujours en priorité à ne pas perturber le fonctionnement du système informatique et en prenant toutes précautions raisonnables afin qu'aucun dommage matériel ne soit causé au système informatique.</w:t>
            </w:r>
          </w:p>
        </w:tc>
        <w:tc>
          <w:tcPr>
            <w:tcW w:w="4508" w:type="dxa"/>
          </w:tcPr>
          <w:p w14:paraId="30AE848F" w14:textId="2BC820B5" w:rsidR="00FA5F98" w:rsidRPr="00A75E59" w:rsidRDefault="003C795A">
            <w:pPr>
              <w:spacing w:before="240" w:after="120"/>
              <w:jc w:val="both"/>
              <w:rPr>
                <w:rFonts w:ascii="Arial" w:hAnsi="Arial" w:cs="Arial"/>
                <w:lang w:val="nl-BE"/>
              </w:rPr>
            </w:pPr>
            <w:r w:rsidRPr="00546795">
              <w:rPr>
                <w:rFonts w:ascii="Arial" w:hAnsi="Arial" w:cs="Arial"/>
                <w:highlight w:val="yellow"/>
                <w:u w:val="single"/>
                <w:lang w:val="nl-NL"/>
              </w:rPr>
              <w:t>§ 4</w:t>
            </w:r>
            <w:r w:rsidRPr="00A75E59">
              <w:rPr>
                <w:rFonts w:ascii="Arial" w:hAnsi="Arial" w:cs="Arial"/>
                <w:u w:val="single"/>
                <w:lang w:val="nl-NL"/>
              </w:rPr>
              <w:t>.</w:t>
            </w:r>
            <w:r w:rsidRPr="00A75E59">
              <w:rPr>
                <w:rFonts w:ascii="Arial" w:hAnsi="Arial" w:cs="Arial"/>
                <w:lang w:val="nl-NL"/>
              </w:rPr>
              <w:t xml:space="preserve"> </w:t>
            </w:r>
            <w:bookmarkStart w:id="4" w:name="_Hlk65231246"/>
            <w:r w:rsidRPr="00A75E59">
              <w:rPr>
                <w:rFonts w:ascii="Arial" w:hAnsi="Arial" w:cs="Arial"/>
                <w:lang w:val="nl-NL"/>
              </w:rPr>
              <w:t>Het nationale CSIRT vervult zijn opdrachten met de nodige behoedzaamheid die verwacht mag worden van een overheid. Er moet steeds bij voorrang voor worden gezorgd dat de werking van het informaticasysteem niet wordt verstoord en alle redelijke voorzorgen moeten worden genomen om te voorkomen dat het informaticasysteem materiële schade oploopt</w:t>
            </w:r>
            <w:bookmarkEnd w:id="4"/>
            <w:r w:rsidRPr="00A75E59">
              <w:rPr>
                <w:rFonts w:ascii="Arial" w:hAnsi="Arial" w:cs="Arial"/>
                <w:lang w:val="nl-NL"/>
              </w:rPr>
              <w:t>.</w:t>
            </w:r>
          </w:p>
        </w:tc>
      </w:tr>
      <w:tr w:rsidR="00FA5F98" w:rsidRPr="00A75E59" w14:paraId="60C7ACB5" w14:textId="77777777" w:rsidTr="00ED636C">
        <w:tc>
          <w:tcPr>
            <w:tcW w:w="4508" w:type="dxa"/>
          </w:tcPr>
          <w:p w14:paraId="335D0708" w14:textId="77777777" w:rsidR="00443A25" w:rsidRPr="00A75E59" w:rsidRDefault="00443A25" w:rsidP="006A1282">
            <w:pPr>
              <w:jc w:val="both"/>
              <w:rPr>
                <w:rFonts w:ascii="Arial" w:hAnsi="Arial" w:cs="Arial"/>
                <w:lang w:val="nl-BE"/>
              </w:rPr>
            </w:pPr>
          </w:p>
          <w:p w14:paraId="56B89FDF" w14:textId="39F97DD4" w:rsidR="00FA5F98" w:rsidRPr="00A75E59" w:rsidRDefault="00EF7F87" w:rsidP="006A1282">
            <w:pPr>
              <w:jc w:val="both"/>
              <w:rPr>
                <w:rFonts w:ascii="Arial" w:hAnsi="Arial" w:cs="Arial"/>
                <w:lang w:val="fr-BE"/>
              </w:rPr>
            </w:pPr>
            <w:r w:rsidRPr="00A75E59">
              <w:rPr>
                <w:rFonts w:ascii="Arial" w:hAnsi="Arial" w:cs="Arial"/>
                <w:lang w:val="fr-BE"/>
              </w:rPr>
              <w:t>Les fonctionnaires dirigeants du CSIRT national veillent, par l'adoption de procédures internes, au respect des conditions visées au présent article. »</w:t>
            </w:r>
          </w:p>
        </w:tc>
        <w:tc>
          <w:tcPr>
            <w:tcW w:w="4508" w:type="dxa"/>
          </w:tcPr>
          <w:p w14:paraId="03DA1797" w14:textId="40EBDA0B" w:rsidR="00FA5F98" w:rsidRPr="00A75E59" w:rsidRDefault="003C795A">
            <w:pPr>
              <w:spacing w:before="240" w:after="120"/>
              <w:jc w:val="both"/>
              <w:rPr>
                <w:rFonts w:ascii="Arial" w:hAnsi="Arial" w:cs="Arial"/>
                <w:lang w:val="fr-BE"/>
              </w:rPr>
            </w:pPr>
            <w:r w:rsidRPr="00A75E59">
              <w:rPr>
                <w:rFonts w:ascii="Arial" w:hAnsi="Arial" w:cs="Arial"/>
                <w:lang w:val="nl-NL"/>
              </w:rPr>
              <w:t>De leidende ambtenaren van het nationale CSIRT zorgen voor de naleving van de in dit artikel vermelde voorwaarden. Daartoe werken zij interne procedures uit.”</w:t>
            </w:r>
          </w:p>
        </w:tc>
      </w:tr>
      <w:tr w:rsidR="00F93F53" w:rsidRPr="00F93F53" w14:paraId="25BB79CE" w14:textId="77777777" w:rsidTr="00ED636C">
        <w:tc>
          <w:tcPr>
            <w:tcW w:w="4508" w:type="dxa"/>
          </w:tcPr>
          <w:p w14:paraId="3D241FE3" w14:textId="77777777" w:rsidR="00F93F53" w:rsidRPr="00A75E59" w:rsidRDefault="00F93F53" w:rsidP="00F93F53">
            <w:pPr>
              <w:jc w:val="both"/>
              <w:rPr>
                <w:rFonts w:ascii="Arial" w:hAnsi="Arial" w:cs="Arial"/>
                <w:b/>
                <w:color w:val="000000"/>
                <w:lang w:val="fr-BE"/>
              </w:rPr>
            </w:pPr>
          </w:p>
          <w:p w14:paraId="1E05613F" w14:textId="54227D57" w:rsidR="00F93F53" w:rsidRPr="00A75E59" w:rsidRDefault="00F93F53" w:rsidP="00F93F53">
            <w:pPr>
              <w:jc w:val="both"/>
              <w:rPr>
                <w:rFonts w:ascii="Arial" w:hAnsi="Arial" w:cs="Arial"/>
                <w:lang w:val="nl-BE"/>
              </w:rPr>
            </w:pPr>
            <w:r w:rsidRPr="00A75E59">
              <w:rPr>
                <w:rFonts w:ascii="Arial" w:hAnsi="Arial" w:cs="Arial"/>
                <w:b/>
                <w:color w:val="000000"/>
                <w:lang w:val="fr-BE"/>
              </w:rPr>
              <w:t>Art. 65</w:t>
            </w:r>
            <w:r>
              <w:rPr>
                <w:rFonts w:ascii="Arial" w:hAnsi="Arial" w:cs="Arial"/>
                <w:b/>
                <w:color w:val="000000"/>
                <w:lang w:val="fr-BE"/>
              </w:rPr>
              <w:t xml:space="preserve"> (art. 35 du dispositif)</w:t>
            </w:r>
          </w:p>
        </w:tc>
        <w:tc>
          <w:tcPr>
            <w:tcW w:w="4508" w:type="dxa"/>
          </w:tcPr>
          <w:p w14:paraId="4F70640F" w14:textId="561DB4F8" w:rsidR="00F93F53" w:rsidRPr="00A75E59" w:rsidRDefault="00F93F53">
            <w:pPr>
              <w:spacing w:before="240" w:after="120"/>
              <w:jc w:val="both"/>
              <w:rPr>
                <w:rFonts w:ascii="Arial" w:hAnsi="Arial" w:cs="Arial"/>
                <w:lang w:val="nl-NL"/>
              </w:rPr>
            </w:pPr>
            <w:r w:rsidRPr="00A75E59">
              <w:rPr>
                <w:rFonts w:ascii="Arial" w:hAnsi="Arial" w:cs="Arial"/>
                <w:b/>
                <w:color w:val="000000"/>
                <w:lang w:val="nl-BE"/>
              </w:rPr>
              <w:t>Art. 65</w:t>
            </w:r>
            <w:r>
              <w:rPr>
                <w:rFonts w:ascii="Arial" w:hAnsi="Arial" w:cs="Arial"/>
                <w:b/>
                <w:color w:val="000000"/>
                <w:lang w:val="nl-BE"/>
              </w:rPr>
              <w:t xml:space="preserve"> (art. 35 van het dispositief) </w:t>
            </w:r>
          </w:p>
        </w:tc>
      </w:tr>
      <w:tr w:rsidR="00FA5F98" w:rsidRPr="00F93F53" w14:paraId="133EF7CF" w14:textId="77777777" w:rsidTr="00ED636C">
        <w:tc>
          <w:tcPr>
            <w:tcW w:w="4508" w:type="dxa"/>
          </w:tcPr>
          <w:p w14:paraId="4A0BA05F" w14:textId="687DCCBB" w:rsidR="00FA5F98" w:rsidRPr="00A75E59" w:rsidRDefault="00B91BDF" w:rsidP="006A1282">
            <w:pPr>
              <w:jc w:val="both"/>
              <w:rPr>
                <w:rFonts w:ascii="Arial" w:hAnsi="Arial" w:cs="Arial"/>
                <w:lang w:val="fr-BE"/>
              </w:rPr>
            </w:pPr>
            <w:bookmarkStart w:id="5" w:name="_Hlk65233253"/>
            <w:r w:rsidRPr="00A75E59">
              <w:rPr>
                <w:rFonts w:ascii="Arial" w:hAnsi="Arial" w:cs="Arial"/>
                <w:color w:val="000000"/>
                <w:lang w:val="fr-BE"/>
              </w:rPr>
              <w:t>§ 1</w:t>
            </w:r>
            <w:r w:rsidRPr="00A75E59">
              <w:rPr>
                <w:rFonts w:ascii="Arial" w:hAnsi="Arial" w:cs="Arial"/>
                <w:color w:val="000000"/>
                <w:vertAlign w:val="superscript"/>
                <w:lang w:val="fr-BE"/>
              </w:rPr>
              <w:t>er</w:t>
            </w:r>
            <w:r w:rsidRPr="00A75E59">
              <w:rPr>
                <w:rFonts w:ascii="Arial" w:hAnsi="Arial" w:cs="Arial"/>
                <w:color w:val="000000"/>
                <w:lang w:val="fr-BE"/>
              </w:rPr>
              <w:t>. Conformément à l'article 5.1.c) du Règlement UE 2016/679, lors du traitement de données à caractère personnel dans le cadre de l'exécution de la présente loi, le responsable de traitement veille à limiter le traitement au minimum nécessaire et de manière proporti</w:t>
            </w:r>
            <w:r w:rsidR="00852E07" w:rsidRPr="00A75E59">
              <w:rPr>
                <w:rFonts w:ascii="Arial" w:hAnsi="Arial" w:cs="Arial"/>
                <w:color w:val="000000"/>
                <w:lang w:val="fr-BE"/>
              </w:rPr>
              <w:t>onnée à la finalité poursuivie.</w:t>
            </w:r>
          </w:p>
        </w:tc>
        <w:tc>
          <w:tcPr>
            <w:tcW w:w="4508" w:type="dxa"/>
          </w:tcPr>
          <w:p w14:paraId="3B144244" w14:textId="6B970533" w:rsidR="00FA5F98" w:rsidRPr="00A75E59" w:rsidRDefault="00680BFC">
            <w:pPr>
              <w:spacing w:before="240" w:after="120"/>
              <w:jc w:val="both"/>
              <w:rPr>
                <w:rFonts w:ascii="Arial" w:hAnsi="Arial" w:cs="Arial"/>
                <w:lang w:val="nl-BE"/>
              </w:rPr>
            </w:pPr>
            <w:r w:rsidRPr="00A75E59">
              <w:rPr>
                <w:rFonts w:ascii="Arial" w:hAnsi="Arial" w:cs="Arial"/>
                <w:color w:val="000000"/>
                <w:lang w:val="nl-BE"/>
              </w:rPr>
              <w:t>§ 1. Overeenkomstig artikel 5.1.c) van Verordening EU 2016/679 zorgt de verwerkingsverantwoordelijke, bij de verwerking van persoonsgegevens in het kader van de uitvoering van deze wet, ervoor dat de verwerking tot het noodzakelijke minimum beperkt blijft en in verhouding staat tot het nagestreefde doeleinde.</w:t>
            </w:r>
          </w:p>
        </w:tc>
      </w:tr>
      <w:tr w:rsidR="00FA5F98" w:rsidRPr="00F93F53" w14:paraId="31E1397C" w14:textId="77777777" w:rsidTr="00ED636C">
        <w:tc>
          <w:tcPr>
            <w:tcW w:w="4508" w:type="dxa"/>
          </w:tcPr>
          <w:p w14:paraId="03D8A7EC" w14:textId="3005E474" w:rsidR="00FA5F98" w:rsidRPr="00A75E59" w:rsidRDefault="00B91BDF" w:rsidP="00B91BDF">
            <w:pPr>
              <w:spacing w:before="240" w:after="120"/>
              <w:jc w:val="both"/>
              <w:rPr>
                <w:rFonts w:ascii="Arial" w:hAnsi="Arial" w:cs="Arial"/>
                <w:lang w:val="fr-BE"/>
              </w:rPr>
            </w:pPr>
            <w:r w:rsidRPr="00A75E59">
              <w:rPr>
                <w:rFonts w:ascii="Arial" w:hAnsi="Arial" w:cs="Arial"/>
                <w:color w:val="000000"/>
                <w:lang w:val="fr-BE"/>
              </w:rPr>
              <w:t xml:space="preserve">§ 2. Dans le respect de ce principe, les données personnelles traitées peuvent être des données de tout type en rapport avec la sécurité des réseaux et systèmes d'information, à savoir le cas échéant des informations nominatives, des données concernant les collaborateurs d'une organisation ou des personnes extérieures, des données ou des identifiants de connexion, </w:t>
            </w:r>
            <w:r w:rsidRPr="00133FB1">
              <w:rPr>
                <w:rFonts w:ascii="Arial" w:hAnsi="Arial" w:cs="Arial"/>
                <w:highlight w:val="yellow"/>
                <w:u w:val="single"/>
                <w:lang w:val="fr-BE"/>
              </w:rPr>
              <w:t>des données de communications électroniques</w:t>
            </w:r>
            <w:r w:rsidRPr="006C282E">
              <w:rPr>
                <w:rFonts w:ascii="Arial" w:hAnsi="Arial" w:cs="Arial"/>
                <w:highlight w:val="yellow"/>
                <w:u w:val="single"/>
                <w:lang w:val="fr-BE"/>
              </w:rPr>
              <w:t>,</w:t>
            </w:r>
            <w:r w:rsidRPr="00A75E59">
              <w:rPr>
                <w:rFonts w:ascii="Arial" w:hAnsi="Arial" w:cs="Arial"/>
                <w:lang w:val="fr-BE"/>
              </w:rPr>
              <w:t> </w:t>
            </w:r>
            <w:r w:rsidRPr="00A75E59">
              <w:rPr>
                <w:rFonts w:ascii="Arial" w:hAnsi="Arial" w:cs="Arial"/>
                <w:color w:val="000000"/>
                <w:lang w:val="fr-BE"/>
              </w:rPr>
              <w:t>des données de géolocalisation, des données d'identification ou d'authentification, le cas échéant au moyen de dispositifs sécurisés.</w:t>
            </w:r>
          </w:p>
        </w:tc>
        <w:tc>
          <w:tcPr>
            <w:tcW w:w="4508" w:type="dxa"/>
          </w:tcPr>
          <w:p w14:paraId="02A4B135" w14:textId="77777777" w:rsidR="00680BFC" w:rsidRPr="00A75E59" w:rsidRDefault="00680BFC" w:rsidP="00680BFC">
            <w:pPr>
              <w:jc w:val="both"/>
              <w:rPr>
                <w:rFonts w:ascii="Arial" w:hAnsi="Arial" w:cs="Arial"/>
                <w:color w:val="000000"/>
                <w:lang w:val="fr-BE"/>
              </w:rPr>
            </w:pPr>
          </w:p>
          <w:p w14:paraId="29AECC52" w14:textId="24148A90" w:rsidR="00FA5F98" w:rsidRPr="00A75E59" w:rsidRDefault="00680BFC" w:rsidP="00680BFC">
            <w:pPr>
              <w:jc w:val="both"/>
              <w:rPr>
                <w:rFonts w:ascii="Arial" w:hAnsi="Arial" w:cs="Arial"/>
                <w:lang w:val="nl-BE"/>
              </w:rPr>
            </w:pPr>
            <w:r w:rsidRPr="00A75E59">
              <w:rPr>
                <w:rFonts w:ascii="Arial" w:hAnsi="Arial" w:cs="Arial"/>
                <w:color w:val="000000"/>
                <w:lang w:val="nl-BE"/>
              </w:rPr>
              <w:t>§ 2. Overeenkomstig dat beginsel kunnen de verwerkte persoonsgegevens allerhande gegevens zijn in verband met de beveiliging van netwerk- en informatiesystemen, namelijk in voorkomend geval nominatieve informatie, gegevens over de medewerkers van een organisatie of externe personen, verbindingsgegevens of -</w:t>
            </w:r>
            <w:proofErr w:type="spellStart"/>
            <w:r w:rsidRPr="00A75E59">
              <w:rPr>
                <w:rFonts w:ascii="Arial" w:hAnsi="Arial" w:cs="Arial"/>
                <w:color w:val="000000"/>
                <w:lang w:val="nl-BE"/>
              </w:rPr>
              <w:t>identificatoren</w:t>
            </w:r>
            <w:proofErr w:type="spellEnd"/>
            <w:r w:rsidRPr="00A75E59">
              <w:rPr>
                <w:rFonts w:ascii="Arial" w:hAnsi="Arial" w:cs="Arial"/>
                <w:color w:val="000000"/>
                <w:lang w:val="nl-BE"/>
              </w:rPr>
              <w:t xml:space="preserve">, </w:t>
            </w:r>
            <w:r w:rsidRPr="00133FB1">
              <w:rPr>
                <w:rFonts w:ascii="Arial" w:hAnsi="Arial" w:cs="Arial"/>
                <w:highlight w:val="yellow"/>
                <w:u w:val="single"/>
                <w:lang w:val="nl-NL"/>
              </w:rPr>
              <w:t>elektronische</w:t>
            </w:r>
            <w:r w:rsidR="001364C7" w:rsidRPr="00133FB1">
              <w:rPr>
                <w:rFonts w:ascii="Arial" w:hAnsi="Arial" w:cs="Arial"/>
                <w:highlight w:val="yellow"/>
                <w:u w:val="single"/>
                <w:lang w:val="nl-NL"/>
              </w:rPr>
              <w:t>-</w:t>
            </w:r>
            <w:r w:rsidRPr="00133FB1">
              <w:rPr>
                <w:rFonts w:ascii="Arial" w:hAnsi="Arial" w:cs="Arial"/>
                <w:highlight w:val="yellow"/>
                <w:u w:val="single"/>
                <w:lang w:val="nl-NL"/>
              </w:rPr>
              <w:t>communicatiegegevens</w:t>
            </w:r>
            <w:r w:rsidRPr="00133FB1">
              <w:rPr>
                <w:rFonts w:ascii="Arial" w:hAnsi="Arial" w:cs="Arial"/>
                <w:u w:val="single"/>
                <w:lang w:val="nl-NL"/>
              </w:rPr>
              <w:t>,</w:t>
            </w:r>
            <w:r w:rsidR="00DC7EA3" w:rsidRPr="00A75E59">
              <w:rPr>
                <w:rFonts w:ascii="Arial" w:hAnsi="Arial" w:cs="Arial"/>
                <w:color w:val="000000"/>
                <w:lang w:val="nl-BE"/>
              </w:rPr>
              <w:t xml:space="preserve"> </w:t>
            </w:r>
            <w:r w:rsidRPr="00A75E59">
              <w:rPr>
                <w:rFonts w:ascii="Arial" w:hAnsi="Arial" w:cs="Arial"/>
                <w:color w:val="000000"/>
                <w:lang w:val="nl-BE"/>
              </w:rPr>
              <w:t>locatie</w:t>
            </w:r>
            <w:r w:rsidR="00DC7EA3" w:rsidRPr="00A75E59">
              <w:rPr>
                <w:rFonts w:ascii="Arial" w:hAnsi="Arial" w:cs="Arial"/>
                <w:color w:val="000000"/>
                <w:lang w:val="nl-BE"/>
              </w:rPr>
              <w:t>-</w:t>
            </w:r>
            <w:r w:rsidRPr="00A75E59">
              <w:rPr>
                <w:rFonts w:ascii="Arial" w:hAnsi="Arial" w:cs="Arial"/>
                <w:color w:val="000000"/>
                <w:lang w:val="nl-BE"/>
              </w:rPr>
              <w:t>gegevens, identificatie- of authenticatiegegevens, in voorkomend geval met behulp van beveiligde systemen.</w:t>
            </w:r>
          </w:p>
        </w:tc>
      </w:tr>
      <w:tr w:rsidR="00B91BDF" w:rsidRPr="00F93F53" w14:paraId="6F76325E" w14:textId="77777777" w:rsidTr="00ED636C">
        <w:tc>
          <w:tcPr>
            <w:tcW w:w="4508" w:type="dxa"/>
          </w:tcPr>
          <w:p w14:paraId="1BED2DF5" w14:textId="0424F9CA" w:rsidR="00B91BDF" w:rsidRPr="00A75E59" w:rsidRDefault="00B91BDF" w:rsidP="00B91BDF">
            <w:pPr>
              <w:spacing w:before="240" w:after="120"/>
              <w:jc w:val="both"/>
              <w:rPr>
                <w:rFonts w:ascii="Arial" w:hAnsi="Arial" w:cs="Arial"/>
                <w:lang w:val="fr-BE"/>
              </w:rPr>
            </w:pPr>
            <w:r w:rsidRPr="00A75E59">
              <w:rPr>
                <w:rFonts w:ascii="Arial" w:hAnsi="Arial" w:cs="Arial"/>
                <w:color w:val="000000"/>
                <w:lang w:val="fr-BE"/>
              </w:rPr>
              <w:t>§ 3. Les principaux traitements de données personnelles dans le cadre de la présente loi peuvent être regroupés comme suit :</w:t>
            </w:r>
            <w:r w:rsidRPr="00A75E59">
              <w:rPr>
                <w:rFonts w:ascii="Arial" w:hAnsi="Arial" w:cs="Arial"/>
                <w:color w:val="000000"/>
                <w:lang w:val="fr-BE"/>
              </w:rPr>
              <w:br/>
              <w:t xml:space="preserve">- l'échange général d'informations entre les opérateurs de services essentiels et les </w:t>
            </w:r>
            <w:r w:rsidRPr="00A75E59">
              <w:rPr>
                <w:rFonts w:ascii="Arial" w:hAnsi="Arial" w:cs="Arial"/>
                <w:color w:val="000000"/>
                <w:lang w:val="fr-BE"/>
              </w:rPr>
              <w:lastRenderedPageBreak/>
              <w:t>fournisseurs de services numériques, d'une part, et les autorités visées à l'article 7, d'autre part ;</w:t>
            </w:r>
            <w:r w:rsidRPr="00A75E59">
              <w:rPr>
                <w:rFonts w:ascii="Arial" w:hAnsi="Arial" w:cs="Arial"/>
                <w:color w:val="000000"/>
                <w:lang w:val="fr-BE"/>
              </w:rPr>
              <w:br/>
              <w:t>- le traitement d'informations spécifiques entre les entités visées au premier tiret dans le cadre des notifications d'incidents ou d'autres échanges ponctuels ;</w:t>
            </w:r>
            <w:r w:rsidRPr="00A75E59">
              <w:rPr>
                <w:rFonts w:ascii="Arial" w:hAnsi="Arial" w:cs="Arial"/>
                <w:color w:val="000000"/>
                <w:lang w:val="fr-BE"/>
              </w:rPr>
              <w:br/>
              <w:t>- le traitement par les services d'inspection conformément au titre 4 ;</w:t>
            </w:r>
            <w:r w:rsidRPr="00A75E59">
              <w:rPr>
                <w:rFonts w:ascii="Arial" w:hAnsi="Arial" w:cs="Arial"/>
                <w:color w:val="000000"/>
                <w:lang w:val="fr-BE"/>
              </w:rPr>
              <w:br/>
              <w:t>- le traitement par les cours et tribunaux ou les autorités sectorielles dans le cadre de la mise en œuvre de la loi et particulièrement de la recherche, la poursuite et la répression d'infractions</w:t>
            </w:r>
            <w:r w:rsidR="002308E3" w:rsidRPr="00A75E59">
              <w:rPr>
                <w:rFonts w:ascii="Arial" w:hAnsi="Arial" w:cs="Arial"/>
                <w:color w:val="000000"/>
                <w:lang w:val="fr-BE"/>
              </w:rPr>
              <w:t xml:space="preserve"> </w:t>
            </w:r>
            <w:r w:rsidRPr="00A75E59">
              <w:rPr>
                <w:rFonts w:ascii="Arial" w:hAnsi="Arial" w:cs="Arial"/>
                <w:color w:val="000000"/>
                <w:lang w:val="fr-BE"/>
              </w:rPr>
              <w:t>;</w:t>
            </w:r>
            <w:r w:rsidRPr="00A75E59">
              <w:rPr>
                <w:rFonts w:ascii="Arial" w:hAnsi="Arial" w:cs="Arial"/>
                <w:color w:val="000000"/>
                <w:lang w:val="fr-BE"/>
              </w:rPr>
              <w:br/>
              <w:t>- les échanges et autres traitements d'informations par le CSIRT national et par le CSIRT sectoriel pour leurs missions visées respectivement aux articles 60 à 62</w:t>
            </w:r>
            <w:r w:rsidR="002308E3" w:rsidRPr="00A75E59">
              <w:rPr>
                <w:rFonts w:ascii="Arial" w:hAnsi="Arial" w:cs="Arial"/>
                <w:color w:val="000000"/>
                <w:lang w:val="fr-BE"/>
              </w:rPr>
              <w:t>,</w:t>
            </w:r>
            <w:r w:rsidRPr="00A75E59">
              <w:rPr>
                <w:rFonts w:ascii="Arial" w:hAnsi="Arial" w:cs="Arial"/>
                <w:color w:val="000000"/>
                <w:lang w:val="fr-BE"/>
              </w:rPr>
              <w:t xml:space="preserve"> 63 et 64.</w:t>
            </w:r>
          </w:p>
        </w:tc>
        <w:tc>
          <w:tcPr>
            <w:tcW w:w="4508" w:type="dxa"/>
          </w:tcPr>
          <w:p w14:paraId="260F9D88" w14:textId="77777777" w:rsidR="00680BFC" w:rsidRPr="00A75E59" w:rsidRDefault="00680BFC" w:rsidP="00B91BDF">
            <w:pPr>
              <w:jc w:val="both"/>
              <w:rPr>
                <w:rFonts w:ascii="Arial" w:hAnsi="Arial" w:cs="Arial"/>
                <w:color w:val="000000"/>
                <w:lang w:val="fr-BE"/>
              </w:rPr>
            </w:pPr>
          </w:p>
          <w:p w14:paraId="7508D8E8" w14:textId="68D09C78" w:rsidR="00B91BDF" w:rsidRPr="006808F0" w:rsidRDefault="00680BFC" w:rsidP="00B91BDF">
            <w:pPr>
              <w:jc w:val="both"/>
              <w:rPr>
                <w:rFonts w:ascii="Arial" w:hAnsi="Arial" w:cs="Arial"/>
                <w:lang w:val="nl-BE"/>
              </w:rPr>
            </w:pPr>
            <w:r w:rsidRPr="00A75E59">
              <w:rPr>
                <w:rFonts w:ascii="Arial" w:hAnsi="Arial" w:cs="Arial"/>
                <w:color w:val="000000"/>
                <w:lang w:val="nl-BE"/>
              </w:rPr>
              <w:t>§ 3. De belangrijkste verwerkingen van persoonsgegevens in het kader van deze wet kunnen als volgt worden ingedeeld:</w:t>
            </w:r>
            <w:r w:rsidRPr="00A75E59">
              <w:rPr>
                <w:rFonts w:ascii="Arial" w:hAnsi="Arial" w:cs="Arial"/>
                <w:color w:val="000000"/>
                <w:lang w:val="nl-BE"/>
              </w:rPr>
              <w:br/>
              <w:t xml:space="preserve">- algemene informatie-uitwisseling tussen aanbieders van essentiële diensten en </w:t>
            </w:r>
            <w:r w:rsidRPr="00A75E59">
              <w:rPr>
                <w:rFonts w:ascii="Arial" w:hAnsi="Arial" w:cs="Arial"/>
                <w:color w:val="000000"/>
                <w:lang w:val="nl-BE"/>
              </w:rPr>
              <w:lastRenderedPageBreak/>
              <w:t>digitaledienstverleners, enerzijds, en de autoriteit bedoeld in artikel 7, anderzijds;</w:t>
            </w:r>
            <w:r w:rsidRPr="00A75E59">
              <w:rPr>
                <w:rFonts w:ascii="Arial" w:hAnsi="Arial" w:cs="Arial"/>
                <w:color w:val="000000"/>
                <w:lang w:val="nl-BE"/>
              </w:rPr>
              <w:br/>
              <w:t>- de verwerking van specifieke informatie tussen de entiteiten bedoeld in het eerste streepje in het kader van incidentmeldingen of andere specifieke uitwisselingen;</w:t>
            </w:r>
            <w:r w:rsidRPr="00A75E59">
              <w:rPr>
                <w:rFonts w:ascii="Arial" w:hAnsi="Arial" w:cs="Arial"/>
                <w:color w:val="000000"/>
                <w:lang w:val="nl-BE"/>
              </w:rPr>
              <w:br/>
              <w:t>- de verwerking door inspectiediensten overeenkomstig titel 4;</w:t>
            </w:r>
            <w:r w:rsidRPr="00A75E59">
              <w:rPr>
                <w:rFonts w:ascii="Arial" w:hAnsi="Arial" w:cs="Arial"/>
                <w:color w:val="000000"/>
                <w:lang w:val="nl-BE"/>
              </w:rPr>
              <w:br/>
              <w:t>- de verwerking door hoven en rechtbanken of sectorale overheden in het kader van de uitvoering van de wet en met name de opsporing, vervolging en bestraffing van inbreuken;</w:t>
            </w:r>
            <w:r w:rsidRPr="00A75E59">
              <w:rPr>
                <w:rFonts w:ascii="Arial" w:hAnsi="Arial" w:cs="Arial"/>
                <w:color w:val="000000"/>
                <w:lang w:val="nl-BE"/>
              </w:rPr>
              <w:br/>
              <w:t>- de uitwisseling en andere verwerking van informatie door het nationale en sectorale CSIRT voor hun opdrachten respectievelijk bedoeld in de artikelen 60 tot 62, 63 en 64.</w:t>
            </w:r>
          </w:p>
        </w:tc>
      </w:tr>
      <w:bookmarkEnd w:id="5"/>
    </w:tbl>
    <w:p w14:paraId="7F2F2CBC" w14:textId="77777777" w:rsidR="00156D27" w:rsidRPr="006808F0" w:rsidRDefault="00156D27" w:rsidP="00C237D8">
      <w:pPr>
        <w:spacing w:before="240"/>
        <w:rPr>
          <w:rFonts w:ascii="Arial" w:hAnsi="Arial" w:cs="Arial"/>
          <w:lang w:val="nl-BE"/>
        </w:rPr>
      </w:pPr>
    </w:p>
    <w:sectPr w:rsidR="00156D27" w:rsidRPr="006808F0">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78C41" w14:textId="77777777" w:rsidR="00591EC0" w:rsidRDefault="00591EC0" w:rsidP="00E311E0">
      <w:pPr>
        <w:spacing w:after="0" w:line="240" w:lineRule="auto"/>
      </w:pPr>
      <w:r>
        <w:separator/>
      </w:r>
    </w:p>
  </w:endnote>
  <w:endnote w:type="continuationSeparator" w:id="0">
    <w:p w14:paraId="20CE4FB5" w14:textId="77777777" w:rsidR="00591EC0" w:rsidRDefault="00591EC0" w:rsidP="00E31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826557"/>
      <w:docPartObj>
        <w:docPartGallery w:val="Page Numbers (Bottom of Page)"/>
        <w:docPartUnique/>
      </w:docPartObj>
    </w:sdtPr>
    <w:sdtEndPr/>
    <w:sdtContent>
      <w:p w14:paraId="6DCE8486" w14:textId="3773EECC" w:rsidR="003C795A" w:rsidRDefault="003C795A">
        <w:pPr>
          <w:pStyle w:val="Footer"/>
          <w:jc w:val="center"/>
        </w:pPr>
        <w:r>
          <w:fldChar w:fldCharType="begin"/>
        </w:r>
        <w:r>
          <w:instrText>PAGE   \* MERGEFORMAT</w:instrText>
        </w:r>
        <w:r>
          <w:fldChar w:fldCharType="separate"/>
        </w:r>
        <w:r w:rsidR="006C1C26" w:rsidRPr="006C1C26">
          <w:rPr>
            <w:noProof/>
            <w:lang w:val="nl-NL"/>
          </w:rPr>
          <w:t>2</w:t>
        </w:r>
        <w:r>
          <w:fldChar w:fldCharType="end"/>
        </w:r>
      </w:p>
    </w:sdtContent>
  </w:sdt>
  <w:p w14:paraId="31FBDF76" w14:textId="77777777" w:rsidR="003C795A" w:rsidRDefault="003C7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751B9" w14:textId="77777777" w:rsidR="00591EC0" w:rsidRDefault="00591EC0" w:rsidP="00E311E0">
      <w:pPr>
        <w:spacing w:after="0" w:line="240" w:lineRule="auto"/>
      </w:pPr>
      <w:r>
        <w:separator/>
      </w:r>
    </w:p>
  </w:footnote>
  <w:footnote w:type="continuationSeparator" w:id="0">
    <w:p w14:paraId="17FBC589" w14:textId="77777777" w:rsidR="00591EC0" w:rsidRDefault="00591EC0" w:rsidP="00E31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078A5" w14:textId="650DDAE1" w:rsidR="003C795A" w:rsidRPr="00F93F53" w:rsidRDefault="003C795A">
    <w:pPr>
      <w:pStyle w:val="Header"/>
      <w:rPr>
        <w:lang w:val="nl-BE"/>
      </w:rPr>
    </w:pPr>
    <w:r w:rsidRPr="00F93F53">
      <w:ptab w:relativeTo="margin" w:alignment="center" w:leader="none"/>
    </w:r>
    <w:r w:rsidRPr="00F93F53">
      <w:ptab w:relativeTo="margin" w:alignment="right" w:leader="none"/>
    </w:r>
    <w:r w:rsidR="007B395D" w:rsidRPr="00F93F53">
      <w:t xml:space="preserve"> </w:t>
    </w:r>
    <w:r w:rsidR="006C282E" w:rsidRPr="00F93F53">
      <w:t>0</w:t>
    </w:r>
    <w:r w:rsidR="00133FB1" w:rsidRPr="00F93F53">
      <w:t>7</w:t>
    </w:r>
    <w:r w:rsidRPr="00F93F53">
      <w:rPr>
        <w:lang w:val="nl-BE"/>
      </w:rPr>
      <w:t>/</w:t>
    </w:r>
    <w:r w:rsidR="00997DD8" w:rsidRPr="00F93F53">
      <w:rPr>
        <w:lang w:val="nl-BE"/>
      </w:rPr>
      <w:t>0</w:t>
    </w:r>
    <w:r w:rsidR="006C282E" w:rsidRPr="00F93F53">
      <w:rPr>
        <w:lang w:val="nl-BE"/>
      </w:rPr>
      <w:t>5</w:t>
    </w:r>
    <w:r w:rsidRPr="00F93F53">
      <w:rPr>
        <w:lang w:val="nl-BE"/>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C2BEB"/>
    <w:multiLevelType w:val="hybridMultilevel"/>
    <w:tmpl w:val="0B8AF644"/>
    <w:lvl w:ilvl="0" w:tplc="7AAA55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E734D"/>
    <w:multiLevelType w:val="hybridMultilevel"/>
    <w:tmpl w:val="31E8FFB4"/>
    <w:lvl w:ilvl="0" w:tplc="7AAA55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B45EE"/>
    <w:multiLevelType w:val="hybridMultilevel"/>
    <w:tmpl w:val="EA7406EA"/>
    <w:lvl w:ilvl="0" w:tplc="7AAA55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471AF1"/>
    <w:multiLevelType w:val="hybridMultilevel"/>
    <w:tmpl w:val="D3CA7A0A"/>
    <w:lvl w:ilvl="0" w:tplc="649E9BE2">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4" w15:restartNumberingAfterBreak="0">
    <w:nsid w:val="347829D0"/>
    <w:multiLevelType w:val="hybridMultilevel"/>
    <w:tmpl w:val="6728D8A6"/>
    <w:lvl w:ilvl="0" w:tplc="7AAA55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B91B79"/>
    <w:multiLevelType w:val="hybridMultilevel"/>
    <w:tmpl w:val="338E1926"/>
    <w:lvl w:ilvl="0" w:tplc="7AAA55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995ADC"/>
    <w:multiLevelType w:val="hybridMultilevel"/>
    <w:tmpl w:val="6BD2CD9C"/>
    <w:lvl w:ilvl="0" w:tplc="700C0D1C">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7" w15:restartNumberingAfterBreak="0">
    <w:nsid w:val="5AD850AD"/>
    <w:multiLevelType w:val="hybridMultilevel"/>
    <w:tmpl w:val="3E62B2D2"/>
    <w:lvl w:ilvl="0" w:tplc="A8B0017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7DA45F7F"/>
    <w:multiLevelType w:val="hybridMultilevel"/>
    <w:tmpl w:val="F70661F6"/>
    <w:lvl w:ilvl="0" w:tplc="A2809EC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8"/>
  </w:num>
  <w:num w:numId="4">
    <w:abstractNumId w:val="3"/>
  </w:num>
  <w:num w:numId="5">
    <w:abstractNumId w:val="6"/>
  </w:num>
  <w:num w:numId="6">
    <w:abstractNumId w:val="1"/>
  </w:num>
  <w:num w:numId="7">
    <w:abstractNumId w:val="2"/>
  </w:num>
  <w:num w:numId="8">
    <w:abstractNumId w:val="5"/>
  </w:num>
  <w:num w:numId="9">
    <w:abstractNumId w:va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36C"/>
    <w:rsid w:val="000046E3"/>
    <w:rsid w:val="000104C2"/>
    <w:rsid w:val="00022BB1"/>
    <w:rsid w:val="00034E41"/>
    <w:rsid w:val="00043B56"/>
    <w:rsid w:val="00051262"/>
    <w:rsid w:val="00054A09"/>
    <w:rsid w:val="0006713C"/>
    <w:rsid w:val="00070C7D"/>
    <w:rsid w:val="000726A6"/>
    <w:rsid w:val="00080259"/>
    <w:rsid w:val="00084C48"/>
    <w:rsid w:val="00090206"/>
    <w:rsid w:val="000A298D"/>
    <w:rsid w:val="000A6625"/>
    <w:rsid w:val="000B7215"/>
    <w:rsid w:val="000E09F5"/>
    <w:rsid w:val="000E1E24"/>
    <w:rsid w:val="001006F6"/>
    <w:rsid w:val="001034FB"/>
    <w:rsid w:val="00106547"/>
    <w:rsid w:val="0012197A"/>
    <w:rsid w:val="00122001"/>
    <w:rsid w:val="00123E0F"/>
    <w:rsid w:val="001308DC"/>
    <w:rsid w:val="00133FB1"/>
    <w:rsid w:val="001364C7"/>
    <w:rsid w:val="00142C3E"/>
    <w:rsid w:val="00143C34"/>
    <w:rsid w:val="001472C5"/>
    <w:rsid w:val="00156D27"/>
    <w:rsid w:val="001663E7"/>
    <w:rsid w:val="001829B7"/>
    <w:rsid w:val="00185A29"/>
    <w:rsid w:val="00186BF6"/>
    <w:rsid w:val="001C4669"/>
    <w:rsid w:val="001C74B8"/>
    <w:rsid w:val="001D1E29"/>
    <w:rsid w:val="001F31C4"/>
    <w:rsid w:val="001F32B9"/>
    <w:rsid w:val="00210529"/>
    <w:rsid w:val="00215D97"/>
    <w:rsid w:val="002259C1"/>
    <w:rsid w:val="002260D4"/>
    <w:rsid w:val="002308E3"/>
    <w:rsid w:val="00234A1E"/>
    <w:rsid w:val="00252B79"/>
    <w:rsid w:val="002711EC"/>
    <w:rsid w:val="00280B30"/>
    <w:rsid w:val="00285552"/>
    <w:rsid w:val="00287B90"/>
    <w:rsid w:val="002905DC"/>
    <w:rsid w:val="002A17B2"/>
    <w:rsid w:val="002B0016"/>
    <w:rsid w:val="002B6AB0"/>
    <w:rsid w:val="002F695D"/>
    <w:rsid w:val="0030200A"/>
    <w:rsid w:val="003169B2"/>
    <w:rsid w:val="00327C5D"/>
    <w:rsid w:val="00347254"/>
    <w:rsid w:val="003672EC"/>
    <w:rsid w:val="00371C43"/>
    <w:rsid w:val="00381312"/>
    <w:rsid w:val="003823EC"/>
    <w:rsid w:val="00393396"/>
    <w:rsid w:val="003C795A"/>
    <w:rsid w:val="003D4D1B"/>
    <w:rsid w:val="003E266A"/>
    <w:rsid w:val="00401935"/>
    <w:rsid w:val="00406817"/>
    <w:rsid w:val="004073E3"/>
    <w:rsid w:val="00407A11"/>
    <w:rsid w:val="00431A3C"/>
    <w:rsid w:val="00440DD3"/>
    <w:rsid w:val="00442F73"/>
    <w:rsid w:val="00443A25"/>
    <w:rsid w:val="00446A17"/>
    <w:rsid w:val="00447DFC"/>
    <w:rsid w:val="0045241E"/>
    <w:rsid w:val="004741FB"/>
    <w:rsid w:val="00490D68"/>
    <w:rsid w:val="004A5813"/>
    <w:rsid w:val="004B2C7D"/>
    <w:rsid w:val="004D22FE"/>
    <w:rsid w:val="004D40DC"/>
    <w:rsid w:val="004E41C6"/>
    <w:rsid w:val="004E6460"/>
    <w:rsid w:val="004F1147"/>
    <w:rsid w:val="00506601"/>
    <w:rsid w:val="00514DFC"/>
    <w:rsid w:val="00527DA0"/>
    <w:rsid w:val="00540F0A"/>
    <w:rsid w:val="00546795"/>
    <w:rsid w:val="00550AC1"/>
    <w:rsid w:val="00553FBE"/>
    <w:rsid w:val="005561C0"/>
    <w:rsid w:val="00560BC8"/>
    <w:rsid w:val="00560CFD"/>
    <w:rsid w:val="00573B01"/>
    <w:rsid w:val="0058166C"/>
    <w:rsid w:val="005826E3"/>
    <w:rsid w:val="005868BA"/>
    <w:rsid w:val="00591EC0"/>
    <w:rsid w:val="005A5D35"/>
    <w:rsid w:val="005C3614"/>
    <w:rsid w:val="005D4271"/>
    <w:rsid w:val="005E7CE1"/>
    <w:rsid w:val="005F70C0"/>
    <w:rsid w:val="0060245F"/>
    <w:rsid w:val="00606F0E"/>
    <w:rsid w:val="00617AD0"/>
    <w:rsid w:val="006215A6"/>
    <w:rsid w:val="00621816"/>
    <w:rsid w:val="006238BB"/>
    <w:rsid w:val="006256FA"/>
    <w:rsid w:val="00635DB3"/>
    <w:rsid w:val="00644B43"/>
    <w:rsid w:val="006616D1"/>
    <w:rsid w:val="006674E2"/>
    <w:rsid w:val="006751EE"/>
    <w:rsid w:val="006808F0"/>
    <w:rsid w:val="00680BFC"/>
    <w:rsid w:val="00682BAD"/>
    <w:rsid w:val="00683563"/>
    <w:rsid w:val="006874AD"/>
    <w:rsid w:val="006A1282"/>
    <w:rsid w:val="006A2706"/>
    <w:rsid w:val="006B11E6"/>
    <w:rsid w:val="006B18BC"/>
    <w:rsid w:val="006B7998"/>
    <w:rsid w:val="006C1C26"/>
    <w:rsid w:val="006C282E"/>
    <w:rsid w:val="006F7DE1"/>
    <w:rsid w:val="00722A01"/>
    <w:rsid w:val="007251BB"/>
    <w:rsid w:val="00752241"/>
    <w:rsid w:val="00783A98"/>
    <w:rsid w:val="00791620"/>
    <w:rsid w:val="007A78C7"/>
    <w:rsid w:val="007B395D"/>
    <w:rsid w:val="007C5E2D"/>
    <w:rsid w:val="007D70FC"/>
    <w:rsid w:val="007E5A99"/>
    <w:rsid w:val="007F1735"/>
    <w:rsid w:val="008133B9"/>
    <w:rsid w:val="008257F8"/>
    <w:rsid w:val="008265E8"/>
    <w:rsid w:val="00831517"/>
    <w:rsid w:val="00840633"/>
    <w:rsid w:val="00852E07"/>
    <w:rsid w:val="00866E3D"/>
    <w:rsid w:val="00882F1E"/>
    <w:rsid w:val="008A36ED"/>
    <w:rsid w:val="008B12CC"/>
    <w:rsid w:val="008C6F53"/>
    <w:rsid w:val="008D7E92"/>
    <w:rsid w:val="008E6C03"/>
    <w:rsid w:val="008F0D16"/>
    <w:rsid w:val="00902B0B"/>
    <w:rsid w:val="00912B3D"/>
    <w:rsid w:val="00914830"/>
    <w:rsid w:val="00916247"/>
    <w:rsid w:val="009458BD"/>
    <w:rsid w:val="00950ADC"/>
    <w:rsid w:val="00953AB9"/>
    <w:rsid w:val="00977712"/>
    <w:rsid w:val="00997DD8"/>
    <w:rsid w:val="009A04FA"/>
    <w:rsid w:val="009D02B3"/>
    <w:rsid w:val="009E17C2"/>
    <w:rsid w:val="009E42B9"/>
    <w:rsid w:val="00A0794E"/>
    <w:rsid w:val="00A211A0"/>
    <w:rsid w:val="00A25BEB"/>
    <w:rsid w:val="00A3155D"/>
    <w:rsid w:val="00A407F5"/>
    <w:rsid w:val="00A42003"/>
    <w:rsid w:val="00A457D2"/>
    <w:rsid w:val="00A475F3"/>
    <w:rsid w:val="00A52D12"/>
    <w:rsid w:val="00A75408"/>
    <w:rsid w:val="00A75E59"/>
    <w:rsid w:val="00A833A8"/>
    <w:rsid w:val="00A94D23"/>
    <w:rsid w:val="00A95500"/>
    <w:rsid w:val="00AB0CC5"/>
    <w:rsid w:val="00AC1377"/>
    <w:rsid w:val="00AC43E8"/>
    <w:rsid w:val="00AE519F"/>
    <w:rsid w:val="00AF6364"/>
    <w:rsid w:val="00B06C8D"/>
    <w:rsid w:val="00B10B78"/>
    <w:rsid w:val="00B172EE"/>
    <w:rsid w:val="00B209C8"/>
    <w:rsid w:val="00B319C0"/>
    <w:rsid w:val="00B322A6"/>
    <w:rsid w:val="00B36A84"/>
    <w:rsid w:val="00B51900"/>
    <w:rsid w:val="00B54851"/>
    <w:rsid w:val="00B67FB1"/>
    <w:rsid w:val="00B82965"/>
    <w:rsid w:val="00B85190"/>
    <w:rsid w:val="00B91BDF"/>
    <w:rsid w:val="00B93913"/>
    <w:rsid w:val="00B96A2F"/>
    <w:rsid w:val="00BD5E0C"/>
    <w:rsid w:val="00BF1A0E"/>
    <w:rsid w:val="00BF3A5B"/>
    <w:rsid w:val="00C007BB"/>
    <w:rsid w:val="00C040E5"/>
    <w:rsid w:val="00C04C72"/>
    <w:rsid w:val="00C237D8"/>
    <w:rsid w:val="00C26969"/>
    <w:rsid w:val="00C3090E"/>
    <w:rsid w:val="00C45EB5"/>
    <w:rsid w:val="00C57392"/>
    <w:rsid w:val="00C63DF5"/>
    <w:rsid w:val="00C817FC"/>
    <w:rsid w:val="00CA1F20"/>
    <w:rsid w:val="00CB3143"/>
    <w:rsid w:val="00CD6211"/>
    <w:rsid w:val="00CD665F"/>
    <w:rsid w:val="00CF68CC"/>
    <w:rsid w:val="00CF7E16"/>
    <w:rsid w:val="00D0198C"/>
    <w:rsid w:val="00D32501"/>
    <w:rsid w:val="00D411BE"/>
    <w:rsid w:val="00D42CA5"/>
    <w:rsid w:val="00D624A8"/>
    <w:rsid w:val="00D62CAB"/>
    <w:rsid w:val="00D74720"/>
    <w:rsid w:val="00D817E9"/>
    <w:rsid w:val="00D906EF"/>
    <w:rsid w:val="00DA3047"/>
    <w:rsid w:val="00DA4140"/>
    <w:rsid w:val="00DB2C71"/>
    <w:rsid w:val="00DB6FF1"/>
    <w:rsid w:val="00DC7EA3"/>
    <w:rsid w:val="00DE031F"/>
    <w:rsid w:val="00E00022"/>
    <w:rsid w:val="00E02FDD"/>
    <w:rsid w:val="00E203EC"/>
    <w:rsid w:val="00E21522"/>
    <w:rsid w:val="00E23AF2"/>
    <w:rsid w:val="00E26C61"/>
    <w:rsid w:val="00E311E0"/>
    <w:rsid w:val="00E86A6A"/>
    <w:rsid w:val="00E90C67"/>
    <w:rsid w:val="00E921BD"/>
    <w:rsid w:val="00EA3576"/>
    <w:rsid w:val="00EC1EB1"/>
    <w:rsid w:val="00EC73F9"/>
    <w:rsid w:val="00EC79A6"/>
    <w:rsid w:val="00ED636C"/>
    <w:rsid w:val="00EF7F87"/>
    <w:rsid w:val="00F00AB0"/>
    <w:rsid w:val="00F067AC"/>
    <w:rsid w:val="00F23DD8"/>
    <w:rsid w:val="00F27FE3"/>
    <w:rsid w:val="00F40DC3"/>
    <w:rsid w:val="00F46AAB"/>
    <w:rsid w:val="00F70647"/>
    <w:rsid w:val="00F736E9"/>
    <w:rsid w:val="00F86D20"/>
    <w:rsid w:val="00F93F53"/>
    <w:rsid w:val="00F93F9A"/>
    <w:rsid w:val="00F9495E"/>
    <w:rsid w:val="00FA33AA"/>
    <w:rsid w:val="00FA5F98"/>
    <w:rsid w:val="00FB2BC7"/>
    <w:rsid w:val="00FC39A3"/>
    <w:rsid w:val="00FE0B10"/>
    <w:rsid w:val="00FF4363"/>
    <w:rsid w:val="00FF7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96398"/>
  <w15:chartTrackingRefBased/>
  <w15:docId w15:val="{F8F29572-0D1E-4889-BB89-18565075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6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ED636C"/>
    <w:pPr>
      <w:spacing w:after="0" w:line="240" w:lineRule="auto"/>
      <w:jc w:val="both"/>
    </w:pPr>
    <w:rPr>
      <w:rFonts w:ascii="Times New Roman" w:eastAsia="Times New Roman" w:hAnsi="Times New Roman" w:cs="Times New Roman"/>
      <w:b/>
      <w:bCs/>
      <w:snapToGrid w:val="0"/>
      <w:sz w:val="24"/>
      <w:szCs w:val="24"/>
      <w:lang w:val="fr-BE"/>
    </w:rPr>
  </w:style>
  <w:style w:type="character" w:customStyle="1" w:styleId="BodyTextIndentChar">
    <w:name w:val="Body Text Indent Char"/>
    <w:basedOn w:val="DefaultParagraphFont"/>
    <w:link w:val="BodyTextIndent"/>
    <w:rsid w:val="00ED636C"/>
    <w:rPr>
      <w:rFonts w:ascii="Times New Roman" w:eastAsia="Times New Roman" w:hAnsi="Times New Roman" w:cs="Times New Roman"/>
      <w:b/>
      <w:bCs/>
      <w:snapToGrid w:val="0"/>
      <w:sz w:val="24"/>
      <w:szCs w:val="24"/>
      <w:lang w:val="fr-BE"/>
    </w:rPr>
  </w:style>
  <w:style w:type="paragraph" w:styleId="ListParagraph">
    <w:name w:val="List Paragraph"/>
    <w:basedOn w:val="Normal"/>
    <w:uiPriority w:val="34"/>
    <w:qFormat/>
    <w:rsid w:val="00051262"/>
    <w:pPr>
      <w:ind w:left="720"/>
      <w:contextualSpacing/>
    </w:pPr>
  </w:style>
  <w:style w:type="paragraph" w:styleId="BalloonText">
    <w:name w:val="Balloon Text"/>
    <w:basedOn w:val="Normal"/>
    <w:link w:val="BalloonTextChar"/>
    <w:uiPriority w:val="99"/>
    <w:semiHidden/>
    <w:unhideWhenUsed/>
    <w:rsid w:val="00914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830"/>
    <w:rPr>
      <w:rFonts w:ascii="Segoe UI" w:hAnsi="Segoe UI" w:cs="Segoe UI"/>
      <w:sz w:val="18"/>
      <w:szCs w:val="18"/>
    </w:rPr>
  </w:style>
  <w:style w:type="character" w:styleId="CommentReference">
    <w:name w:val="annotation reference"/>
    <w:basedOn w:val="DefaultParagraphFont"/>
    <w:uiPriority w:val="99"/>
    <w:semiHidden/>
    <w:unhideWhenUsed/>
    <w:rsid w:val="00831517"/>
    <w:rPr>
      <w:sz w:val="16"/>
      <w:szCs w:val="16"/>
    </w:rPr>
  </w:style>
  <w:style w:type="paragraph" w:styleId="CommentText">
    <w:name w:val="annotation text"/>
    <w:basedOn w:val="Normal"/>
    <w:link w:val="CommentTextChar"/>
    <w:uiPriority w:val="99"/>
    <w:semiHidden/>
    <w:unhideWhenUsed/>
    <w:rsid w:val="00831517"/>
    <w:pPr>
      <w:spacing w:line="240" w:lineRule="auto"/>
    </w:pPr>
    <w:rPr>
      <w:sz w:val="20"/>
      <w:szCs w:val="20"/>
      <w:lang w:val="nl-BE"/>
    </w:rPr>
  </w:style>
  <w:style w:type="character" w:customStyle="1" w:styleId="CommentTextChar">
    <w:name w:val="Comment Text Char"/>
    <w:basedOn w:val="DefaultParagraphFont"/>
    <w:link w:val="CommentText"/>
    <w:uiPriority w:val="99"/>
    <w:semiHidden/>
    <w:rsid w:val="00831517"/>
    <w:rPr>
      <w:sz w:val="20"/>
      <w:szCs w:val="20"/>
      <w:lang w:val="nl-BE"/>
    </w:rPr>
  </w:style>
  <w:style w:type="paragraph" w:styleId="CommentSubject">
    <w:name w:val="annotation subject"/>
    <w:basedOn w:val="CommentText"/>
    <w:next w:val="CommentText"/>
    <w:link w:val="CommentSubjectChar"/>
    <w:uiPriority w:val="99"/>
    <w:semiHidden/>
    <w:unhideWhenUsed/>
    <w:rsid w:val="00CD665F"/>
    <w:rPr>
      <w:b/>
      <w:bCs/>
      <w:lang w:val="en-GB"/>
    </w:rPr>
  </w:style>
  <w:style w:type="character" w:customStyle="1" w:styleId="CommentSubjectChar">
    <w:name w:val="Comment Subject Char"/>
    <w:basedOn w:val="CommentTextChar"/>
    <w:link w:val="CommentSubject"/>
    <w:uiPriority w:val="99"/>
    <w:semiHidden/>
    <w:rsid w:val="00CD665F"/>
    <w:rPr>
      <w:b/>
      <w:bCs/>
      <w:sz w:val="20"/>
      <w:szCs w:val="20"/>
      <w:lang w:val="nl-BE"/>
    </w:rPr>
  </w:style>
  <w:style w:type="paragraph" w:styleId="Header">
    <w:name w:val="header"/>
    <w:basedOn w:val="Normal"/>
    <w:link w:val="HeaderChar"/>
    <w:uiPriority w:val="99"/>
    <w:unhideWhenUsed/>
    <w:rsid w:val="00E311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1E0"/>
  </w:style>
  <w:style w:type="paragraph" w:styleId="Footer">
    <w:name w:val="footer"/>
    <w:basedOn w:val="Normal"/>
    <w:link w:val="FooterChar"/>
    <w:uiPriority w:val="99"/>
    <w:unhideWhenUsed/>
    <w:rsid w:val="00E311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1E0"/>
  </w:style>
  <w:style w:type="paragraph" w:styleId="Revision">
    <w:name w:val="Revision"/>
    <w:hidden/>
    <w:uiPriority w:val="99"/>
    <w:semiHidden/>
    <w:rsid w:val="00393396"/>
    <w:pPr>
      <w:spacing w:after="0" w:line="240" w:lineRule="auto"/>
    </w:pPr>
  </w:style>
  <w:style w:type="paragraph" w:styleId="Title">
    <w:name w:val="Title"/>
    <w:basedOn w:val="Normal"/>
    <w:next w:val="Normal"/>
    <w:link w:val="TitleChar"/>
    <w:uiPriority w:val="10"/>
    <w:qFormat/>
    <w:rsid w:val="006C282E"/>
    <w:pPr>
      <w:spacing w:after="0" w:line="240" w:lineRule="auto"/>
      <w:contextualSpacing/>
      <w:jc w:val="both"/>
    </w:pPr>
    <w:rPr>
      <w:rFonts w:ascii="Tahoma" w:eastAsiaTheme="majorEastAsia" w:hAnsi="Tahoma" w:cstheme="majorBidi"/>
      <w:spacing w:val="-10"/>
      <w:kern w:val="28"/>
      <w:sz w:val="76"/>
      <w:szCs w:val="56"/>
      <w:lang w:val="fr-BE"/>
    </w:rPr>
  </w:style>
  <w:style w:type="character" w:customStyle="1" w:styleId="TitleChar">
    <w:name w:val="Title Char"/>
    <w:basedOn w:val="DefaultParagraphFont"/>
    <w:link w:val="Title"/>
    <w:uiPriority w:val="10"/>
    <w:rsid w:val="006C282E"/>
    <w:rPr>
      <w:rFonts w:ascii="Tahoma" w:eastAsiaTheme="majorEastAsia" w:hAnsi="Tahoma" w:cstheme="majorBidi"/>
      <w:spacing w:val="-10"/>
      <w:kern w:val="28"/>
      <w:sz w:val="76"/>
      <w:szCs w:val="56"/>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973279">
      <w:bodyDiv w:val="1"/>
      <w:marLeft w:val="0"/>
      <w:marRight w:val="0"/>
      <w:marTop w:val="0"/>
      <w:marBottom w:val="0"/>
      <w:divBdr>
        <w:top w:val="none" w:sz="0" w:space="0" w:color="auto"/>
        <w:left w:val="none" w:sz="0" w:space="0" w:color="auto"/>
        <w:bottom w:val="none" w:sz="0" w:space="0" w:color="auto"/>
        <w:right w:val="none" w:sz="0" w:space="0" w:color="auto"/>
      </w:divBdr>
    </w:div>
    <w:div w:id="771122554">
      <w:bodyDiv w:val="1"/>
      <w:marLeft w:val="0"/>
      <w:marRight w:val="0"/>
      <w:marTop w:val="0"/>
      <w:marBottom w:val="0"/>
      <w:divBdr>
        <w:top w:val="none" w:sz="0" w:space="0" w:color="auto"/>
        <w:left w:val="none" w:sz="0" w:space="0" w:color="auto"/>
        <w:bottom w:val="none" w:sz="0" w:space="0" w:color="auto"/>
        <w:right w:val="none" w:sz="0" w:space="0" w:color="auto"/>
      </w:divBdr>
    </w:div>
    <w:div w:id="987394604">
      <w:bodyDiv w:val="1"/>
      <w:marLeft w:val="0"/>
      <w:marRight w:val="0"/>
      <w:marTop w:val="0"/>
      <w:marBottom w:val="0"/>
      <w:divBdr>
        <w:top w:val="none" w:sz="0" w:space="0" w:color="auto"/>
        <w:left w:val="none" w:sz="0" w:space="0" w:color="auto"/>
        <w:bottom w:val="none" w:sz="0" w:space="0" w:color="auto"/>
        <w:right w:val="none" w:sz="0" w:space="0" w:color="auto"/>
      </w:divBdr>
    </w:div>
    <w:div w:id="1136266148">
      <w:bodyDiv w:val="1"/>
      <w:marLeft w:val="0"/>
      <w:marRight w:val="0"/>
      <w:marTop w:val="0"/>
      <w:marBottom w:val="0"/>
      <w:divBdr>
        <w:top w:val="none" w:sz="0" w:space="0" w:color="auto"/>
        <w:left w:val="none" w:sz="0" w:space="0" w:color="auto"/>
        <w:bottom w:val="none" w:sz="0" w:space="0" w:color="auto"/>
        <w:right w:val="none" w:sz="0" w:space="0" w:color="auto"/>
      </w:divBdr>
    </w:div>
    <w:div w:id="1282419634">
      <w:bodyDiv w:val="1"/>
      <w:marLeft w:val="0"/>
      <w:marRight w:val="0"/>
      <w:marTop w:val="0"/>
      <w:marBottom w:val="0"/>
      <w:divBdr>
        <w:top w:val="none" w:sz="0" w:space="0" w:color="auto"/>
        <w:left w:val="none" w:sz="0" w:space="0" w:color="auto"/>
        <w:bottom w:val="none" w:sz="0" w:space="0" w:color="auto"/>
        <w:right w:val="none" w:sz="0" w:space="0" w:color="auto"/>
      </w:divBdr>
    </w:div>
    <w:div w:id="207231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abfcb1f17d5f4555baa428617776f0c1 xmlns="2b4b6fc7-bde4-44a8-8bca-a78eb25a27e9">
      <Terms xmlns="http://schemas.microsoft.com/office/infopath/2007/PartnerControls"/>
    </abfcb1f17d5f4555baa428617776f0c1>
    <Dossier_x0020_Number xmlns="2b4b6fc7-bde4-44a8-8bca-a78eb25a27e9">2020-001255</Dossier_x0020_Number>
    <_dlc_DocId xmlns="2b4b6fc7-bde4-44a8-8bca-a78eb25a27e9">DS20-1372834777-1009</_dlc_DocId>
    <o3cf37d2a5d34fd7955003a053893e5e xmlns="2b4b6fc7-bde4-44a8-8bca-a78eb25a27e9">
      <Terms xmlns="http://schemas.microsoft.com/office/infopath/2007/PartnerControls"/>
    </o3cf37d2a5d34fd7955003a053893e5e>
    <_dlc_DocIdUrl xmlns="2b4b6fc7-bde4-44a8-8bca-a78eb25a27e9">
      <Url>http://teamworkingspace.bipt.local/sites/dossiers2020/12/2020001255/_layouts/DocIdRedir.aspx?ID=DS20-1372834777-1009</Url>
      <Description>DS20-1372834777-1009</Description>
    </_dlc_DocIdUrl>
    <TaxCatchAll xmlns="2b4b6fc7-bde4-44a8-8bca-a78eb25a27e9">
      <Value>27</Value>
    </TaxCatchAll>
    <QuickPartDocumentId xmlns="2b4b6fc7-bde4-44a8-8bca-a78eb25a27e9">DS20-1372834777-1009</QuickPartDocumentId>
    <d4ec9b080060429989fa5f940ee3f852 xmlns="2b4b6fc7-bde4-44a8-8bca-a78eb25a27e9">
      <Terms xmlns="http://schemas.microsoft.com/office/infopath/2007/PartnerControls">
        <TermInfo xmlns="http://schemas.microsoft.com/office/infopath/2007/PartnerControls">
          <TermName xmlns="http://schemas.microsoft.com/office/infopath/2007/PartnerControls">Legal Department</TermName>
          <TermId xmlns="http://schemas.microsoft.com/office/infopath/2007/PartnerControls">dd78c772-9794-4686-a245-4df1b644d6ba</TermId>
        </TermInfo>
      </Terms>
    </d4ec9b080060429989fa5f940ee3f852>
    <Version_x0020_Published_x0020_To_x0020_Library xmlns="2b4b6fc7-bde4-44a8-8bca-a78eb25a27e9" xsi:nil="true"/>
    <Master_x0020_Id xmlns="2b4b6fc7-bde4-44a8-8bca-a78eb25a27e9" xsi:nil="true"/>
    <Version_x0020_Published_x0020_to_x0020_Internet xmlns="2b4b6fc7-bde4-44a8-8bca-a78eb25a27e9" xsi:nil="true"/>
    <History_x0020_of_x0020_Remarks xmlns="2b4b6fc7-bde4-44a8-8bca-a78eb25a27e9" xsi:nil="true"/>
    <Administrative xmlns="2b4b6fc7-bde4-44a8-8bca-a78eb25a27e9">false</Administrative>
    <Confidential1 xmlns="2b4b6fc7-bde4-44a8-8bca-a78eb25a27e9">false</Confidential1>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Add Dossier Service and Service Nr Eventhandler (Added)</Name>
    <Synchronization>Synchronous</Synchronization>
    <Type>10001</Type>
    <SequenceNumber>10030</SequenceNumber>
    <Assembly>BIPT.Ged, Version=1.0.0.0, Culture=neutral, PublicKeyToken=423c9e81cd84949a</Assembly>
    <Class>BIPT.Ged.EventReceivers.FillOutDossierServiceAndServiceNumber.FillOutDossierServiceAndServiceNumber</Class>
    <Data/>
    <Filter/>
  </Receiver>
  <Receiver>
    <Name>addin</Name>
    <Synchronization>Synchronous</Synchronization>
    <Type>1</Type>
    <SequenceNumber>10240</SequenceNumber>
    <Assembly>BIPT.Ged, Version=1.0.0.0, Culture=neutral, PublicKeyToken=423c9e81cd84949a</Assembly>
    <Class>BIPT.Ged.EventReceivers.FillOutDossierServiceAndServiceNumber.FillOutDossierServiceAndServiceNumber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ssier Document FR" ma:contentTypeID="0x0101004FA21861B553C741A1AA3F2E5831C1CC0507009B219235E488424E858FD5EE5506841D" ma:contentTypeVersion="66" ma:contentTypeDescription="Een nieuw document maken." ma:contentTypeScope="" ma:versionID="941b080a0d64219c61c483932755567f">
  <xsd:schema xmlns:xsd="http://www.w3.org/2001/XMLSchema" xmlns:xs="http://www.w3.org/2001/XMLSchema" xmlns:p="http://schemas.microsoft.com/office/2006/metadata/properties" xmlns:ns2="2b4b6fc7-bde4-44a8-8bca-a78eb25a27e9" targetNamespace="http://schemas.microsoft.com/office/2006/metadata/properties" ma:root="true" ma:fieldsID="cb3f6be10dd87ed603eec3f1c19b2862" ns2:_="">
    <xsd:import namespace="2b4b6fc7-bde4-44a8-8bca-a78eb25a27e9"/>
    <xsd:element name="properties">
      <xsd:complexType>
        <xsd:sequence>
          <xsd:element name="documentManagement">
            <xsd:complexType>
              <xsd:all>
                <xsd:element ref="ns2:Dossier_x0020_Number" minOccurs="0"/>
                <xsd:element ref="ns2:History_x0020_of_x0020_Remarks" minOccurs="0"/>
                <xsd:element ref="ns2:Administrative" minOccurs="0"/>
                <xsd:element ref="ns2:Confidential1" minOccurs="0"/>
                <xsd:element ref="ns2:Version_x0020_Published_x0020_To_x0020_Library" minOccurs="0"/>
                <xsd:element ref="ns2:_dlc_DocIdUrl" minOccurs="0"/>
                <xsd:element ref="ns2:_dlc_DocIdPersistId" minOccurs="0"/>
                <xsd:element ref="ns2:abfcb1f17d5f4555baa428617776f0c1" minOccurs="0"/>
                <xsd:element ref="ns2:TaxCatchAllLabel" minOccurs="0"/>
                <xsd:element ref="ns2:d4ec9b080060429989fa5f940ee3f852" minOccurs="0"/>
                <xsd:element ref="ns2:TaxCatchAll" minOccurs="0"/>
                <xsd:element ref="ns2:o3cf37d2a5d34fd7955003a053893e5e" minOccurs="0"/>
                <xsd:element ref="ns2:_dlc_DocId" minOccurs="0"/>
                <xsd:element ref="ns2:Version_x0020_Published_x0020_to_x0020_Internet" minOccurs="0"/>
                <xsd:element ref="ns2:QuickPartDocumentId" minOccurs="0"/>
                <xsd:element ref="ns2:Maste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b6fc7-bde4-44a8-8bca-a78eb25a27e9" elementFormDefault="qualified">
    <xsd:import namespace="http://schemas.microsoft.com/office/2006/documentManagement/types"/>
    <xsd:import namespace="http://schemas.microsoft.com/office/infopath/2007/PartnerControls"/>
    <xsd:element name="Dossier_x0020_Number" ma:index="5" nillable="true" ma:displayName="Dossier Number" ma:internalName="Dossier_x0020_Number">
      <xsd:simpleType>
        <xsd:restriction base="dms:Text">
          <xsd:maxLength value="255"/>
        </xsd:restriction>
      </xsd:simpleType>
    </xsd:element>
    <xsd:element name="History_x0020_of_x0020_Remarks" ma:index="6" nillable="true" ma:displayName="History of Remarks" ma:internalName="History_x0020_of_x0020_Remarks">
      <xsd:simpleType>
        <xsd:restriction base="dms:Note">
          <xsd:maxLength value="255"/>
        </xsd:restriction>
      </xsd:simpleType>
    </xsd:element>
    <xsd:element name="Administrative" ma:index="7" nillable="true" ma:displayName="Administrative" ma:default="0" ma:internalName="Administrative">
      <xsd:simpleType>
        <xsd:restriction base="dms:Boolean"/>
      </xsd:simpleType>
    </xsd:element>
    <xsd:element name="Confidential1" ma:index="8" nillable="true" ma:displayName="Confidential" ma:default="0" ma:internalName="Confidential1">
      <xsd:simpleType>
        <xsd:restriction base="dms:Boolean"/>
      </xsd:simpleType>
    </xsd:element>
    <xsd:element name="Version_x0020_Published_x0020_To_x0020_Library" ma:index="9" nillable="true" ma:displayName="Version Published to Library" ma:internalName="Version_x0020_Published_x0020_To_x0020_Library">
      <xsd:simpleType>
        <xsd:restriction base="dms:Text">
          <xsd:maxLength value="255"/>
        </xsd:restriction>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abfcb1f17d5f4555baa428617776f0c1" ma:index="12" nillable="true" ma:taxonomy="true" ma:internalName="abfcb1f17d5f4555baa428617776f0c1" ma:taxonomyFieldName="Document_x0020_Type" ma:displayName="Document Type" ma:default="" ma:fieldId="{abfcb1f1-7d5f-4555-baa4-28617776f0c1}" ma:sspId="75b52628-4ae0-409d-b79e-6d0521b2c784" ma:termSetId="0add2e65-f722-4dcd-91e5-e26bd7158a0c"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aacb5312-317a-4e89-849f-bd5396de7844}" ma:internalName="TaxCatchAllLabel" ma:readOnly="true" ma:showField="CatchAllDataLabel"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d4ec9b080060429989fa5f940ee3f852" ma:index="18" nillable="true" ma:taxonomy="true" ma:internalName="d4ec9b080060429989fa5f940ee3f852" ma:taxonomyFieldName="Service1" ma:displayName="Service" ma:readOnly="false" ma:default="" ma:fieldId="{d4ec9b08-0060-4299-89fa-5f940ee3f852}" ma:sspId="75b52628-4ae0-409d-b79e-6d0521b2c784" ma:termSetId="46b8dc2a-6372-4a7b-bdd4-6b0c5e78749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aacb5312-317a-4e89-849f-bd5396de7844}" ma:internalName="TaxCatchAll" ma:showField="CatchAllData"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o3cf37d2a5d34fd7955003a053893e5e" ma:index="20" nillable="true" ma:taxonomy="true" ma:internalName="o3cf37d2a5d34fd7955003a053893e5e" ma:taxonomyFieldName="Languages" ma:displayName="Languages" ma:default="" ma:fieldId="{83cf37d2-a5d3-4fd7-9550-03a053893e5e}" ma:taxonomyMulti="true" ma:sspId="75b52628-4ae0-409d-b79e-6d0521b2c784" ma:termSetId="af6d6fcf-919d-4606-93f6-1f52cad124cb" ma:anchorId="00000000-0000-0000-0000-000000000000" ma:open="false" ma:isKeyword="false">
      <xsd:complexType>
        <xsd:sequence>
          <xsd:element ref="pc:Terms" minOccurs="0" maxOccurs="1"/>
        </xsd:sequence>
      </xsd:complexType>
    </xsd:element>
    <xsd:element name="_dlc_DocId" ma:index="22" nillable="true" ma:displayName="Waarde van de document-id" ma:description="De waarde van de document-id die aan dit item is toegewezen." ma:internalName="_dlc_DocId" ma:readOnly="true">
      <xsd:simpleType>
        <xsd:restriction base="dms:Text"/>
      </xsd:simpleType>
    </xsd:element>
    <xsd:element name="Version_x0020_Published_x0020_to_x0020_Internet" ma:index="24" nillable="true" ma:displayName="Version Published to Internet" ma:internalName="Version_x0020_Published_x0020_to_x0020_Internet">
      <xsd:simpleType>
        <xsd:restriction base="dms:Text">
          <xsd:maxLength value="255"/>
        </xsd:restriction>
      </xsd:simpleType>
    </xsd:element>
    <xsd:element name="QuickPartDocumentId" ma:index="25" nillable="true" ma:displayName="Doc Id" ma:internalName="QuickPartDocumentId" ma:readOnly="false">
      <xsd:simpleType>
        <xsd:restriction base="dms:Text">
          <xsd:maxLength value="255"/>
        </xsd:restriction>
      </xsd:simpleType>
    </xsd:element>
    <xsd:element name="Master_x0020_Id" ma:index="26" nillable="true" ma:displayName="Master Id" ma:internalName="Maste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1855A-CEBC-446F-B571-AFA76A07EECA}"/>
</file>

<file path=customXml/itemProps2.xml><?xml version="1.0" encoding="utf-8"?>
<ds:datastoreItem xmlns:ds="http://schemas.openxmlformats.org/officeDocument/2006/customXml" ds:itemID="{4811B79B-5519-4ADB-9001-734E97B25B4B}"/>
</file>

<file path=customXml/itemProps3.xml><?xml version="1.0" encoding="utf-8"?>
<ds:datastoreItem xmlns:ds="http://schemas.openxmlformats.org/officeDocument/2006/customXml" ds:itemID="{ECAF8591-836D-4D01-B86D-DCC03C1D0879}"/>
</file>

<file path=customXml/itemProps4.xml><?xml version="1.0" encoding="utf-8"?>
<ds:datastoreItem xmlns:ds="http://schemas.openxmlformats.org/officeDocument/2006/customXml" ds:itemID="{BBFAE860-2BA3-4AC6-83D1-78DDA4476F9C}"/>
</file>

<file path=customXml/itemProps5.xml><?xml version="1.0" encoding="utf-8"?>
<ds:datastoreItem xmlns:ds="http://schemas.openxmlformats.org/officeDocument/2006/customXml" ds:itemID="{45D89167-E12D-4A95-B9CF-9C5F80669608}"/>
</file>

<file path=customXml/itemProps6.xml><?xml version="1.0" encoding="utf-8"?>
<ds:datastoreItem xmlns:ds="http://schemas.openxmlformats.org/officeDocument/2006/customXml" ds:itemID="{17DEF5E0-B90E-45D9-956D-DB48A75D95D2}"/>
</file>

<file path=docProps/app.xml><?xml version="1.0" encoding="utf-8"?>
<Properties xmlns="http://schemas.openxmlformats.org/officeDocument/2006/extended-properties" xmlns:vt="http://schemas.openxmlformats.org/officeDocument/2006/docPropsVTypes">
  <Template>Normal</Template>
  <TotalTime>9</TotalTime>
  <Pages>3</Pages>
  <Words>1167</Words>
  <Characters>6652</Characters>
  <Application>Microsoft Office Word</Application>
  <DocSecurity>0</DocSecurity>
  <Lines>55</Lines>
  <Paragraphs>15</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FOD Justitie / SPF Justice</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Peeters Marit</dc:creator>
  <cp:keywords/>
  <dc:description/>
  <cp:lastModifiedBy>Dethy Pierre-Yves</cp:lastModifiedBy>
  <cp:revision>8</cp:revision>
  <dcterms:created xsi:type="dcterms:W3CDTF">2021-04-26T14:48:00Z</dcterms:created>
  <dcterms:modified xsi:type="dcterms:W3CDTF">2021-05-07T06:03:00Z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5514218fd064764993fc7f005d66e34">
    <vt:lpwstr/>
  </property>
  <property fmtid="{D5CDD505-2E9C-101B-9397-08002B2CF9AE}" pid="3" name="nd8a4f3b4df3473d8008d70ef4499b5e">
    <vt:lpwstr/>
  </property>
  <property fmtid="{D5CDD505-2E9C-101B-9397-08002B2CF9AE}" pid="4" name="Medium Type">
    <vt:lpwstr/>
  </property>
  <property fmtid="{D5CDD505-2E9C-101B-9397-08002B2CF9AE}" pid="5" name="ContentTypeId">
    <vt:lpwstr>0x0101004FA21861B553C741A1AA3F2E5831C1CC0507009B219235E488424E858FD5EE5506841D</vt:lpwstr>
  </property>
  <property fmtid="{D5CDD505-2E9C-101B-9397-08002B2CF9AE}" pid="6" name="Service1">
    <vt:lpwstr>27;#Legal Department|dd78c772-9794-4686-a245-4df1b644d6ba</vt:lpwstr>
  </property>
  <property fmtid="{D5CDD505-2E9C-101B-9397-08002B2CF9AE}" pid="7" name="Languages">
    <vt:lpwstr/>
  </property>
  <property fmtid="{D5CDD505-2E9C-101B-9397-08002B2CF9AE}" pid="8" name="Document Type">
    <vt:lpwstr/>
  </property>
  <property fmtid="{D5CDD505-2E9C-101B-9397-08002B2CF9AE}" pid="9" name="Answer or Initiative">
    <vt:lpwstr/>
  </property>
  <property fmtid="{D5CDD505-2E9C-101B-9397-08002B2CF9AE}" pid="10" name="_dlc_DocIdItemGuid">
    <vt:lpwstr>88062631-0d6b-4ad4-9412-8254ff432775</vt:lpwstr>
  </property>
</Properties>
</file>