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786EA" w14:textId="2080D5E9" w:rsidR="00F56ABA" w:rsidRPr="007A377E" w:rsidRDefault="00F56ABA" w:rsidP="00B13DDD">
      <w:pPr>
        <w:pStyle w:val="Kopvaninhoudsopgave"/>
        <w:tabs>
          <w:tab w:val="left" w:pos="4056"/>
          <w:tab w:val="center" w:pos="4513"/>
        </w:tabs>
        <w:jc w:val="left"/>
        <w:rPr>
          <w:rFonts w:asciiTheme="minorHAnsi" w:hAnsiTheme="minorHAnsi" w:cstheme="minorHAnsi"/>
          <w:sz w:val="22"/>
          <w:szCs w:val="22"/>
        </w:rPr>
      </w:pPr>
    </w:p>
    <w:sdt>
      <w:sdtPr>
        <w:rPr>
          <w:rFonts w:asciiTheme="minorHAnsi" w:eastAsiaTheme="minorHAnsi" w:hAnsiTheme="minorHAnsi" w:cstheme="minorHAnsi"/>
          <w:b w:val="0"/>
          <w:sz w:val="22"/>
          <w:szCs w:val="22"/>
          <w:lang w:val="fr-FR"/>
        </w:rPr>
        <w:id w:val="-1770856390"/>
        <w:docPartObj>
          <w:docPartGallery w:val="Table of Contents"/>
          <w:docPartUnique/>
        </w:docPartObj>
      </w:sdtPr>
      <w:sdtEndPr>
        <w:rPr>
          <w:bCs/>
        </w:rPr>
      </w:sdtEndPr>
      <w:sdtContent>
        <w:p w14:paraId="4A71F57F" w14:textId="3896364D" w:rsidR="0014723C" w:rsidRPr="007A377E" w:rsidRDefault="0014723C" w:rsidP="0014723C">
          <w:pPr>
            <w:pStyle w:val="Kopvaninhoudsopgave"/>
            <w:jc w:val="center"/>
            <w:rPr>
              <w:rFonts w:asciiTheme="minorHAnsi" w:hAnsiTheme="minorHAnsi" w:cstheme="minorHAnsi"/>
              <w:color w:val="1B80B2" w:themeColor="accent1" w:themeShade="BF"/>
              <w:sz w:val="22"/>
              <w:szCs w:val="22"/>
              <w:lang w:val="fr-FR" w:eastAsia="nl-BE"/>
            </w:rPr>
          </w:pPr>
          <w:r w:rsidRPr="007A377E">
            <w:rPr>
              <w:rFonts w:asciiTheme="minorHAnsi" w:hAnsiTheme="minorHAnsi" w:cstheme="minorHAnsi"/>
              <w:color w:val="1B80B2" w:themeColor="accent1" w:themeShade="BF"/>
              <w:sz w:val="22"/>
              <w:szCs w:val="22"/>
              <w:lang w:val="fr-FR" w:eastAsia="nl-BE"/>
            </w:rPr>
            <w:t xml:space="preserve">Table des </w:t>
          </w:r>
          <w:r w:rsidRPr="007A377E">
            <w:rPr>
              <w:rFonts w:asciiTheme="minorHAnsi" w:hAnsiTheme="minorHAnsi" w:cstheme="minorHAnsi"/>
              <w:color w:val="1B80B2" w:themeColor="accent1" w:themeShade="BF"/>
              <w:sz w:val="22"/>
              <w:szCs w:val="22"/>
              <w:lang w:eastAsia="nl-BE"/>
            </w:rPr>
            <w:t>matières</w:t>
          </w:r>
          <w:r w:rsidR="00136EDB" w:rsidRPr="007A377E">
            <w:rPr>
              <w:rFonts w:asciiTheme="minorHAnsi" w:hAnsiTheme="minorHAnsi" w:cstheme="minorHAnsi"/>
              <w:color w:val="1B80B2" w:themeColor="accent1" w:themeShade="BF"/>
              <w:sz w:val="22"/>
              <w:szCs w:val="22"/>
              <w:lang w:eastAsia="nl-BE"/>
            </w:rPr>
            <w:t>/</w:t>
          </w:r>
          <w:proofErr w:type="spellStart"/>
          <w:r w:rsidR="00136EDB" w:rsidRPr="007A377E">
            <w:rPr>
              <w:rFonts w:asciiTheme="minorHAnsi" w:hAnsiTheme="minorHAnsi" w:cstheme="minorHAnsi"/>
              <w:color w:val="1B80B2" w:themeColor="accent1" w:themeShade="BF"/>
              <w:sz w:val="22"/>
              <w:szCs w:val="22"/>
              <w:lang w:eastAsia="nl-BE"/>
            </w:rPr>
            <w:t>inhoudsopgave</w:t>
          </w:r>
          <w:proofErr w:type="spellEnd"/>
        </w:p>
        <w:p w14:paraId="6A814BDD" w14:textId="10E3E381" w:rsidR="00B250BC" w:rsidRPr="007A377E" w:rsidRDefault="00B250BC" w:rsidP="0014723C">
          <w:pPr>
            <w:pStyle w:val="Kopvaninhoudsopgave"/>
            <w:jc w:val="center"/>
            <w:rPr>
              <w:rFonts w:asciiTheme="minorHAnsi" w:hAnsiTheme="minorHAnsi" w:cstheme="minorHAnsi"/>
              <w:sz w:val="22"/>
              <w:szCs w:val="22"/>
              <w:lang w:val="fr-FR"/>
            </w:rPr>
          </w:pPr>
        </w:p>
        <w:p w14:paraId="47C7E333" w14:textId="4456FE5B" w:rsidR="00B604AF" w:rsidRDefault="0014723C">
          <w:pPr>
            <w:pStyle w:val="Inhopg1"/>
            <w:rPr>
              <w:rFonts w:asciiTheme="minorHAnsi" w:eastAsiaTheme="minorEastAsia" w:hAnsiTheme="minorHAnsi"/>
              <w:noProof/>
              <w:sz w:val="22"/>
              <w:lang w:eastAsia="nl-BE"/>
            </w:rPr>
          </w:pPr>
          <w:r w:rsidRPr="007A377E">
            <w:rPr>
              <w:rFonts w:asciiTheme="minorHAnsi" w:hAnsiTheme="minorHAnsi" w:cstheme="minorHAnsi"/>
              <w:sz w:val="22"/>
            </w:rPr>
            <w:fldChar w:fldCharType="begin"/>
          </w:r>
          <w:r w:rsidRPr="007A377E">
            <w:rPr>
              <w:rFonts w:asciiTheme="minorHAnsi" w:hAnsiTheme="minorHAnsi" w:cstheme="minorHAnsi"/>
              <w:sz w:val="22"/>
            </w:rPr>
            <w:instrText xml:space="preserve"> TOC \o "1-2" \h \z \u </w:instrText>
          </w:r>
          <w:r w:rsidRPr="007A377E">
            <w:rPr>
              <w:rFonts w:asciiTheme="minorHAnsi" w:hAnsiTheme="minorHAnsi" w:cstheme="minorHAnsi"/>
              <w:sz w:val="22"/>
            </w:rPr>
            <w:fldChar w:fldCharType="separate"/>
          </w:r>
          <w:hyperlink w:anchor="_Toc96612088" w:history="1">
            <w:r w:rsidR="00B604AF" w:rsidRPr="009B1586">
              <w:rPr>
                <w:rStyle w:val="Hyperlink"/>
                <w:rFonts w:cstheme="minorHAnsi"/>
                <w:noProof/>
                <w:lang w:val="fr-BE" w:eastAsia="fr-FR"/>
              </w:rPr>
              <w:t>Amendement n° 10</w:t>
            </w:r>
            <w:r w:rsidR="00B604AF">
              <w:rPr>
                <w:noProof/>
                <w:webHidden/>
              </w:rPr>
              <w:tab/>
            </w:r>
            <w:r w:rsidR="00B604AF">
              <w:rPr>
                <w:noProof/>
                <w:webHidden/>
              </w:rPr>
              <w:fldChar w:fldCharType="begin"/>
            </w:r>
            <w:r w:rsidR="00B604AF">
              <w:rPr>
                <w:noProof/>
                <w:webHidden/>
              </w:rPr>
              <w:instrText xml:space="preserve"> PAGEREF _Toc96612088 \h </w:instrText>
            </w:r>
            <w:r w:rsidR="00B604AF">
              <w:rPr>
                <w:noProof/>
                <w:webHidden/>
              </w:rPr>
            </w:r>
            <w:r w:rsidR="00B604AF">
              <w:rPr>
                <w:noProof/>
                <w:webHidden/>
              </w:rPr>
              <w:fldChar w:fldCharType="separate"/>
            </w:r>
            <w:r w:rsidR="00B604AF">
              <w:rPr>
                <w:noProof/>
                <w:webHidden/>
              </w:rPr>
              <w:t>2</w:t>
            </w:r>
            <w:r w:rsidR="00B604AF">
              <w:rPr>
                <w:noProof/>
                <w:webHidden/>
              </w:rPr>
              <w:fldChar w:fldCharType="end"/>
            </w:r>
          </w:hyperlink>
        </w:p>
        <w:p w14:paraId="5A63E900" w14:textId="5F37A138" w:rsidR="00B604AF" w:rsidRDefault="00B604AF">
          <w:pPr>
            <w:pStyle w:val="Inhopg1"/>
            <w:rPr>
              <w:rFonts w:asciiTheme="minorHAnsi" w:eastAsiaTheme="minorEastAsia" w:hAnsiTheme="minorHAnsi"/>
              <w:noProof/>
              <w:sz w:val="22"/>
              <w:lang w:eastAsia="nl-BE"/>
            </w:rPr>
          </w:pPr>
          <w:hyperlink w:anchor="_Toc96612089" w:history="1">
            <w:r w:rsidRPr="009B1586">
              <w:rPr>
                <w:rStyle w:val="Hyperlink"/>
                <w:rFonts w:cstheme="minorHAnsi"/>
                <w:noProof/>
                <w:lang w:eastAsia="fr-FR"/>
              </w:rPr>
              <w:t>Amendement nr. 10</w:t>
            </w:r>
            <w:r>
              <w:rPr>
                <w:noProof/>
                <w:webHidden/>
              </w:rPr>
              <w:tab/>
            </w:r>
            <w:r>
              <w:rPr>
                <w:noProof/>
                <w:webHidden/>
              </w:rPr>
              <w:fldChar w:fldCharType="begin"/>
            </w:r>
            <w:r>
              <w:rPr>
                <w:noProof/>
                <w:webHidden/>
              </w:rPr>
              <w:instrText xml:space="preserve"> PAGEREF _Toc96612089 \h </w:instrText>
            </w:r>
            <w:r>
              <w:rPr>
                <w:noProof/>
                <w:webHidden/>
              </w:rPr>
            </w:r>
            <w:r>
              <w:rPr>
                <w:noProof/>
                <w:webHidden/>
              </w:rPr>
              <w:fldChar w:fldCharType="separate"/>
            </w:r>
            <w:r>
              <w:rPr>
                <w:noProof/>
                <w:webHidden/>
              </w:rPr>
              <w:t>2</w:t>
            </w:r>
            <w:r>
              <w:rPr>
                <w:noProof/>
                <w:webHidden/>
              </w:rPr>
              <w:fldChar w:fldCharType="end"/>
            </w:r>
          </w:hyperlink>
        </w:p>
        <w:p w14:paraId="45EE9E29" w14:textId="1CF4A8BF" w:rsidR="00B604AF" w:rsidRDefault="00B604AF">
          <w:pPr>
            <w:pStyle w:val="Inhopg1"/>
            <w:rPr>
              <w:rFonts w:asciiTheme="minorHAnsi" w:eastAsiaTheme="minorEastAsia" w:hAnsiTheme="minorHAnsi"/>
              <w:noProof/>
              <w:sz w:val="22"/>
              <w:lang w:eastAsia="nl-BE"/>
            </w:rPr>
          </w:pPr>
          <w:hyperlink w:anchor="_Toc96612090" w:history="1">
            <w:r w:rsidRPr="009B1586">
              <w:rPr>
                <w:rStyle w:val="Hyperlink"/>
                <w:rFonts w:cstheme="minorHAnsi"/>
                <w:noProof/>
              </w:rPr>
              <w:t>Amendement</w:t>
            </w:r>
            <w:r w:rsidRPr="009B1586">
              <w:rPr>
                <w:rStyle w:val="Hyperlink"/>
                <w:rFonts w:cstheme="minorHAnsi"/>
                <w:noProof/>
                <w:lang w:val="fr-BE" w:eastAsia="fr-FR"/>
              </w:rPr>
              <w:t xml:space="preserve"> n°11</w:t>
            </w:r>
            <w:r>
              <w:rPr>
                <w:noProof/>
                <w:webHidden/>
              </w:rPr>
              <w:tab/>
            </w:r>
            <w:r>
              <w:rPr>
                <w:noProof/>
                <w:webHidden/>
              </w:rPr>
              <w:fldChar w:fldCharType="begin"/>
            </w:r>
            <w:r>
              <w:rPr>
                <w:noProof/>
                <w:webHidden/>
              </w:rPr>
              <w:instrText xml:space="preserve"> PAGEREF _Toc96612090 \h </w:instrText>
            </w:r>
            <w:r>
              <w:rPr>
                <w:noProof/>
                <w:webHidden/>
              </w:rPr>
            </w:r>
            <w:r>
              <w:rPr>
                <w:noProof/>
                <w:webHidden/>
              </w:rPr>
              <w:fldChar w:fldCharType="separate"/>
            </w:r>
            <w:r>
              <w:rPr>
                <w:noProof/>
                <w:webHidden/>
              </w:rPr>
              <w:t>3</w:t>
            </w:r>
            <w:r>
              <w:rPr>
                <w:noProof/>
                <w:webHidden/>
              </w:rPr>
              <w:fldChar w:fldCharType="end"/>
            </w:r>
          </w:hyperlink>
        </w:p>
        <w:p w14:paraId="6E3659B7" w14:textId="08B35DD7" w:rsidR="00B604AF" w:rsidRDefault="00B604AF">
          <w:pPr>
            <w:pStyle w:val="Inhopg1"/>
            <w:rPr>
              <w:rFonts w:asciiTheme="minorHAnsi" w:eastAsiaTheme="minorEastAsia" w:hAnsiTheme="minorHAnsi"/>
              <w:noProof/>
              <w:sz w:val="22"/>
              <w:lang w:eastAsia="nl-BE"/>
            </w:rPr>
          </w:pPr>
          <w:hyperlink w:anchor="_Toc96612091" w:history="1">
            <w:r w:rsidRPr="009B1586">
              <w:rPr>
                <w:rStyle w:val="Hyperlink"/>
                <w:rFonts w:cstheme="minorHAnsi"/>
                <w:noProof/>
                <w:lang w:eastAsia="fr-FR"/>
              </w:rPr>
              <w:t>Amendement nr.11</w:t>
            </w:r>
            <w:r>
              <w:rPr>
                <w:noProof/>
                <w:webHidden/>
              </w:rPr>
              <w:tab/>
            </w:r>
            <w:r>
              <w:rPr>
                <w:noProof/>
                <w:webHidden/>
              </w:rPr>
              <w:fldChar w:fldCharType="begin"/>
            </w:r>
            <w:r>
              <w:rPr>
                <w:noProof/>
                <w:webHidden/>
              </w:rPr>
              <w:instrText xml:space="preserve"> PAGEREF _Toc96612091 \h </w:instrText>
            </w:r>
            <w:r>
              <w:rPr>
                <w:noProof/>
                <w:webHidden/>
              </w:rPr>
            </w:r>
            <w:r>
              <w:rPr>
                <w:noProof/>
                <w:webHidden/>
              </w:rPr>
              <w:fldChar w:fldCharType="separate"/>
            </w:r>
            <w:r>
              <w:rPr>
                <w:noProof/>
                <w:webHidden/>
              </w:rPr>
              <w:t>3</w:t>
            </w:r>
            <w:r>
              <w:rPr>
                <w:noProof/>
                <w:webHidden/>
              </w:rPr>
              <w:fldChar w:fldCharType="end"/>
            </w:r>
          </w:hyperlink>
        </w:p>
        <w:p w14:paraId="361CC4FB" w14:textId="13850D90" w:rsidR="00B604AF" w:rsidRDefault="00B604AF">
          <w:pPr>
            <w:pStyle w:val="Inhopg1"/>
            <w:rPr>
              <w:rFonts w:asciiTheme="minorHAnsi" w:eastAsiaTheme="minorEastAsia" w:hAnsiTheme="minorHAnsi"/>
              <w:noProof/>
              <w:sz w:val="22"/>
              <w:lang w:eastAsia="nl-BE"/>
            </w:rPr>
          </w:pPr>
          <w:hyperlink w:anchor="_Toc96612092" w:history="1">
            <w:r w:rsidRPr="009B1586">
              <w:rPr>
                <w:rStyle w:val="Hyperlink"/>
                <w:rFonts w:cstheme="minorHAnsi"/>
                <w:noProof/>
                <w:lang w:val="fr-BE" w:eastAsia="fr-FR"/>
              </w:rPr>
              <w:t>Amendement n° 12</w:t>
            </w:r>
            <w:r>
              <w:rPr>
                <w:noProof/>
                <w:webHidden/>
              </w:rPr>
              <w:tab/>
            </w:r>
            <w:r>
              <w:rPr>
                <w:noProof/>
                <w:webHidden/>
              </w:rPr>
              <w:fldChar w:fldCharType="begin"/>
            </w:r>
            <w:r>
              <w:rPr>
                <w:noProof/>
                <w:webHidden/>
              </w:rPr>
              <w:instrText xml:space="preserve"> PAGEREF _Toc96612092 \h </w:instrText>
            </w:r>
            <w:r>
              <w:rPr>
                <w:noProof/>
                <w:webHidden/>
              </w:rPr>
            </w:r>
            <w:r>
              <w:rPr>
                <w:noProof/>
                <w:webHidden/>
              </w:rPr>
              <w:fldChar w:fldCharType="separate"/>
            </w:r>
            <w:r>
              <w:rPr>
                <w:noProof/>
                <w:webHidden/>
              </w:rPr>
              <w:t>4</w:t>
            </w:r>
            <w:r>
              <w:rPr>
                <w:noProof/>
                <w:webHidden/>
              </w:rPr>
              <w:fldChar w:fldCharType="end"/>
            </w:r>
          </w:hyperlink>
        </w:p>
        <w:p w14:paraId="08BDA2A2" w14:textId="0B2EF4F8" w:rsidR="00B604AF" w:rsidRDefault="00B604AF">
          <w:pPr>
            <w:pStyle w:val="Inhopg1"/>
            <w:rPr>
              <w:rFonts w:asciiTheme="minorHAnsi" w:eastAsiaTheme="minorEastAsia" w:hAnsiTheme="minorHAnsi"/>
              <w:noProof/>
              <w:sz w:val="22"/>
              <w:lang w:eastAsia="nl-BE"/>
            </w:rPr>
          </w:pPr>
          <w:hyperlink w:anchor="_Toc96612093" w:history="1">
            <w:r w:rsidRPr="009B1586">
              <w:rPr>
                <w:rStyle w:val="Hyperlink"/>
                <w:rFonts w:cstheme="minorHAnsi"/>
                <w:noProof/>
                <w:lang w:eastAsia="fr-FR"/>
              </w:rPr>
              <w:t>Amendement nr. 12</w:t>
            </w:r>
            <w:r>
              <w:rPr>
                <w:noProof/>
                <w:webHidden/>
              </w:rPr>
              <w:tab/>
            </w:r>
            <w:r>
              <w:rPr>
                <w:noProof/>
                <w:webHidden/>
              </w:rPr>
              <w:fldChar w:fldCharType="begin"/>
            </w:r>
            <w:r>
              <w:rPr>
                <w:noProof/>
                <w:webHidden/>
              </w:rPr>
              <w:instrText xml:space="preserve"> PAGEREF _Toc96612093 \h </w:instrText>
            </w:r>
            <w:r>
              <w:rPr>
                <w:noProof/>
                <w:webHidden/>
              </w:rPr>
            </w:r>
            <w:r>
              <w:rPr>
                <w:noProof/>
                <w:webHidden/>
              </w:rPr>
              <w:fldChar w:fldCharType="separate"/>
            </w:r>
            <w:r>
              <w:rPr>
                <w:noProof/>
                <w:webHidden/>
              </w:rPr>
              <w:t>4</w:t>
            </w:r>
            <w:r>
              <w:rPr>
                <w:noProof/>
                <w:webHidden/>
              </w:rPr>
              <w:fldChar w:fldCharType="end"/>
            </w:r>
          </w:hyperlink>
        </w:p>
        <w:p w14:paraId="6E14E555" w14:textId="1C646B74" w:rsidR="00B604AF" w:rsidRDefault="00B604AF">
          <w:pPr>
            <w:pStyle w:val="Inhopg1"/>
            <w:rPr>
              <w:rFonts w:asciiTheme="minorHAnsi" w:eastAsiaTheme="minorEastAsia" w:hAnsiTheme="minorHAnsi"/>
              <w:noProof/>
              <w:sz w:val="22"/>
              <w:lang w:eastAsia="nl-BE"/>
            </w:rPr>
          </w:pPr>
          <w:hyperlink w:anchor="_Toc96612094" w:history="1">
            <w:r w:rsidRPr="009B1586">
              <w:rPr>
                <w:rStyle w:val="Hyperlink"/>
                <w:rFonts w:cstheme="minorHAnsi"/>
                <w:noProof/>
                <w:lang w:val="fr-BE" w:eastAsia="fr-FR"/>
              </w:rPr>
              <w:t>Amendement n° 13</w:t>
            </w:r>
            <w:r>
              <w:rPr>
                <w:noProof/>
                <w:webHidden/>
              </w:rPr>
              <w:tab/>
            </w:r>
            <w:r>
              <w:rPr>
                <w:noProof/>
                <w:webHidden/>
              </w:rPr>
              <w:fldChar w:fldCharType="begin"/>
            </w:r>
            <w:r>
              <w:rPr>
                <w:noProof/>
                <w:webHidden/>
              </w:rPr>
              <w:instrText xml:space="preserve"> PAGEREF _Toc96612094 \h </w:instrText>
            </w:r>
            <w:r>
              <w:rPr>
                <w:noProof/>
                <w:webHidden/>
              </w:rPr>
            </w:r>
            <w:r>
              <w:rPr>
                <w:noProof/>
                <w:webHidden/>
              </w:rPr>
              <w:fldChar w:fldCharType="separate"/>
            </w:r>
            <w:r>
              <w:rPr>
                <w:noProof/>
                <w:webHidden/>
              </w:rPr>
              <w:t>12</w:t>
            </w:r>
            <w:r>
              <w:rPr>
                <w:noProof/>
                <w:webHidden/>
              </w:rPr>
              <w:fldChar w:fldCharType="end"/>
            </w:r>
          </w:hyperlink>
        </w:p>
        <w:p w14:paraId="32AEEED5" w14:textId="36ED2D23" w:rsidR="00B604AF" w:rsidRDefault="00B604AF">
          <w:pPr>
            <w:pStyle w:val="Inhopg1"/>
            <w:rPr>
              <w:rFonts w:asciiTheme="minorHAnsi" w:eastAsiaTheme="minorEastAsia" w:hAnsiTheme="minorHAnsi"/>
              <w:noProof/>
              <w:sz w:val="22"/>
              <w:lang w:eastAsia="nl-BE"/>
            </w:rPr>
          </w:pPr>
          <w:hyperlink w:anchor="_Toc96612095" w:history="1">
            <w:r w:rsidRPr="009B1586">
              <w:rPr>
                <w:rStyle w:val="Hyperlink"/>
                <w:rFonts w:cstheme="minorHAnsi"/>
                <w:noProof/>
                <w:lang w:eastAsia="fr-FR"/>
              </w:rPr>
              <w:t>Amendement nr. 13</w:t>
            </w:r>
            <w:r>
              <w:rPr>
                <w:noProof/>
                <w:webHidden/>
              </w:rPr>
              <w:tab/>
            </w:r>
            <w:r>
              <w:rPr>
                <w:noProof/>
                <w:webHidden/>
              </w:rPr>
              <w:fldChar w:fldCharType="begin"/>
            </w:r>
            <w:r>
              <w:rPr>
                <w:noProof/>
                <w:webHidden/>
              </w:rPr>
              <w:instrText xml:space="preserve"> PAGEREF _Toc96612095 \h </w:instrText>
            </w:r>
            <w:r>
              <w:rPr>
                <w:noProof/>
                <w:webHidden/>
              </w:rPr>
            </w:r>
            <w:r>
              <w:rPr>
                <w:noProof/>
                <w:webHidden/>
              </w:rPr>
              <w:fldChar w:fldCharType="separate"/>
            </w:r>
            <w:r>
              <w:rPr>
                <w:noProof/>
                <w:webHidden/>
              </w:rPr>
              <w:t>12</w:t>
            </w:r>
            <w:r>
              <w:rPr>
                <w:noProof/>
                <w:webHidden/>
              </w:rPr>
              <w:fldChar w:fldCharType="end"/>
            </w:r>
          </w:hyperlink>
        </w:p>
        <w:p w14:paraId="7C0D2C14" w14:textId="104366B1" w:rsidR="00B604AF" w:rsidRDefault="00B604AF">
          <w:pPr>
            <w:pStyle w:val="Inhopg1"/>
            <w:rPr>
              <w:rFonts w:asciiTheme="minorHAnsi" w:eastAsiaTheme="minorEastAsia" w:hAnsiTheme="minorHAnsi"/>
              <w:noProof/>
              <w:sz w:val="22"/>
              <w:lang w:eastAsia="nl-BE"/>
            </w:rPr>
          </w:pPr>
          <w:hyperlink w:anchor="_Toc96612096" w:history="1">
            <w:r w:rsidRPr="009B1586">
              <w:rPr>
                <w:rStyle w:val="Hyperlink"/>
                <w:noProof/>
                <w:lang w:val="fr-BE" w:eastAsia="fr-FR"/>
              </w:rPr>
              <w:t>Amendement n° 14</w:t>
            </w:r>
            <w:r>
              <w:rPr>
                <w:noProof/>
                <w:webHidden/>
              </w:rPr>
              <w:tab/>
            </w:r>
            <w:r>
              <w:rPr>
                <w:noProof/>
                <w:webHidden/>
              </w:rPr>
              <w:fldChar w:fldCharType="begin"/>
            </w:r>
            <w:r>
              <w:rPr>
                <w:noProof/>
                <w:webHidden/>
              </w:rPr>
              <w:instrText xml:space="preserve"> PAGEREF _Toc96612096 \h </w:instrText>
            </w:r>
            <w:r>
              <w:rPr>
                <w:noProof/>
                <w:webHidden/>
              </w:rPr>
            </w:r>
            <w:r>
              <w:rPr>
                <w:noProof/>
                <w:webHidden/>
              </w:rPr>
              <w:fldChar w:fldCharType="separate"/>
            </w:r>
            <w:r>
              <w:rPr>
                <w:noProof/>
                <w:webHidden/>
              </w:rPr>
              <w:t>13</w:t>
            </w:r>
            <w:r>
              <w:rPr>
                <w:noProof/>
                <w:webHidden/>
              </w:rPr>
              <w:fldChar w:fldCharType="end"/>
            </w:r>
          </w:hyperlink>
        </w:p>
        <w:p w14:paraId="2060FF24" w14:textId="33D48EFB" w:rsidR="00B604AF" w:rsidRDefault="00B604AF">
          <w:pPr>
            <w:pStyle w:val="Inhopg1"/>
            <w:rPr>
              <w:rFonts w:asciiTheme="minorHAnsi" w:eastAsiaTheme="minorEastAsia" w:hAnsiTheme="minorHAnsi"/>
              <w:noProof/>
              <w:sz w:val="22"/>
              <w:lang w:eastAsia="nl-BE"/>
            </w:rPr>
          </w:pPr>
          <w:hyperlink w:anchor="_Toc96612097" w:history="1">
            <w:r w:rsidRPr="009B1586">
              <w:rPr>
                <w:rStyle w:val="Hyperlink"/>
                <w:noProof/>
                <w:lang w:eastAsia="fr-FR"/>
              </w:rPr>
              <w:t>Amendement nr. 14</w:t>
            </w:r>
            <w:r>
              <w:rPr>
                <w:noProof/>
                <w:webHidden/>
              </w:rPr>
              <w:tab/>
            </w:r>
            <w:r>
              <w:rPr>
                <w:noProof/>
                <w:webHidden/>
              </w:rPr>
              <w:fldChar w:fldCharType="begin"/>
            </w:r>
            <w:r>
              <w:rPr>
                <w:noProof/>
                <w:webHidden/>
              </w:rPr>
              <w:instrText xml:space="preserve"> PAGEREF _Toc96612097 \h </w:instrText>
            </w:r>
            <w:r>
              <w:rPr>
                <w:noProof/>
                <w:webHidden/>
              </w:rPr>
            </w:r>
            <w:r>
              <w:rPr>
                <w:noProof/>
                <w:webHidden/>
              </w:rPr>
              <w:fldChar w:fldCharType="separate"/>
            </w:r>
            <w:r>
              <w:rPr>
                <w:noProof/>
                <w:webHidden/>
              </w:rPr>
              <w:t>13</w:t>
            </w:r>
            <w:r>
              <w:rPr>
                <w:noProof/>
                <w:webHidden/>
              </w:rPr>
              <w:fldChar w:fldCharType="end"/>
            </w:r>
          </w:hyperlink>
        </w:p>
        <w:p w14:paraId="4428D5EE" w14:textId="71595213" w:rsidR="00B604AF" w:rsidRDefault="00B604AF">
          <w:pPr>
            <w:pStyle w:val="Inhopg1"/>
            <w:rPr>
              <w:rFonts w:asciiTheme="minorHAnsi" w:eastAsiaTheme="minorEastAsia" w:hAnsiTheme="minorHAnsi"/>
              <w:noProof/>
              <w:sz w:val="22"/>
              <w:lang w:eastAsia="nl-BE"/>
            </w:rPr>
          </w:pPr>
          <w:hyperlink w:anchor="_Toc96612098" w:history="1">
            <w:r w:rsidRPr="009B1586">
              <w:rPr>
                <w:rStyle w:val="Hyperlink"/>
                <w:rFonts w:cstheme="minorHAnsi"/>
                <w:noProof/>
                <w:lang w:val="fr-BE" w:eastAsia="fr-FR"/>
              </w:rPr>
              <w:t>Amendement n° 15</w:t>
            </w:r>
            <w:r>
              <w:rPr>
                <w:noProof/>
                <w:webHidden/>
              </w:rPr>
              <w:tab/>
            </w:r>
            <w:r>
              <w:rPr>
                <w:noProof/>
                <w:webHidden/>
              </w:rPr>
              <w:fldChar w:fldCharType="begin"/>
            </w:r>
            <w:r>
              <w:rPr>
                <w:noProof/>
                <w:webHidden/>
              </w:rPr>
              <w:instrText xml:space="preserve"> PAGEREF _Toc96612098 \h </w:instrText>
            </w:r>
            <w:r>
              <w:rPr>
                <w:noProof/>
                <w:webHidden/>
              </w:rPr>
            </w:r>
            <w:r>
              <w:rPr>
                <w:noProof/>
                <w:webHidden/>
              </w:rPr>
              <w:fldChar w:fldCharType="separate"/>
            </w:r>
            <w:r>
              <w:rPr>
                <w:noProof/>
                <w:webHidden/>
              </w:rPr>
              <w:t>14</w:t>
            </w:r>
            <w:r>
              <w:rPr>
                <w:noProof/>
                <w:webHidden/>
              </w:rPr>
              <w:fldChar w:fldCharType="end"/>
            </w:r>
          </w:hyperlink>
        </w:p>
        <w:p w14:paraId="6DA3DABC" w14:textId="3D94F565" w:rsidR="00B604AF" w:rsidRDefault="00B604AF">
          <w:pPr>
            <w:pStyle w:val="Inhopg1"/>
            <w:rPr>
              <w:rFonts w:asciiTheme="minorHAnsi" w:eastAsiaTheme="minorEastAsia" w:hAnsiTheme="minorHAnsi"/>
              <w:noProof/>
              <w:sz w:val="22"/>
              <w:lang w:eastAsia="nl-BE"/>
            </w:rPr>
          </w:pPr>
          <w:hyperlink w:anchor="_Toc96612099" w:history="1">
            <w:r w:rsidRPr="009B1586">
              <w:rPr>
                <w:rStyle w:val="Hyperlink"/>
                <w:rFonts w:cstheme="minorHAnsi"/>
                <w:noProof/>
                <w:lang w:eastAsia="fr-FR"/>
              </w:rPr>
              <w:t>Amendement nr. 15</w:t>
            </w:r>
            <w:r>
              <w:rPr>
                <w:noProof/>
                <w:webHidden/>
              </w:rPr>
              <w:tab/>
            </w:r>
            <w:r>
              <w:rPr>
                <w:noProof/>
                <w:webHidden/>
              </w:rPr>
              <w:fldChar w:fldCharType="begin"/>
            </w:r>
            <w:r>
              <w:rPr>
                <w:noProof/>
                <w:webHidden/>
              </w:rPr>
              <w:instrText xml:space="preserve"> PAGEREF _Toc96612099 \h </w:instrText>
            </w:r>
            <w:r>
              <w:rPr>
                <w:noProof/>
                <w:webHidden/>
              </w:rPr>
            </w:r>
            <w:r>
              <w:rPr>
                <w:noProof/>
                <w:webHidden/>
              </w:rPr>
              <w:fldChar w:fldCharType="separate"/>
            </w:r>
            <w:r>
              <w:rPr>
                <w:noProof/>
                <w:webHidden/>
              </w:rPr>
              <w:t>14</w:t>
            </w:r>
            <w:r>
              <w:rPr>
                <w:noProof/>
                <w:webHidden/>
              </w:rPr>
              <w:fldChar w:fldCharType="end"/>
            </w:r>
          </w:hyperlink>
        </w:p>
        <w:p w14:paraId="7B2840CB" w14:textId="08BF68FF" w:rsidR="00F56ABA" w:rsidRPr="007A377E" w:rsidRDefault="0014723C">
          <w:pPr>
            <w:rPr>
              <w:rFonts w:asciiTheme="minorHAnsi" w:hAnsiTheme="minorHAnsi" w:cstheme="minorHAnsi"/>
              <w:sz w:val="22"/>
            </w:rPr>
          </w:pPr>
          <w:r w:rsidRPr="007A377E">
            <w:rPr>
              <w:rFonts w:asciiTheme="minorHAnsi" w:hAnsiTheme="minorHAnsi" w:cstheme="minorHAnsi"/>
              <w:sz w:val="22"/>
            </w:rPr>
            <w:fldChar w:fldCharType="end"/>
          </w:r>
        </w:p>
      </w:sdtContent>
    </w:sdt>
    <w:p w14:paraId="1CC2C09D" w14:textId="37CD62E4" w:rsidR="00B13DDD" w:rsidRPr="007A377E" w:rsidRDefault="00B13DDD" w:rsidP="00B13DDD">
      <w:pPr>
        <w:pStyle w:val="Kopvaninhoudsopgave"/>
        <w:tabs>
          <w:tab w:val="left" w:pos="4056"/>
          <w:tab w:val="center" w:pos="4513"/>
        </w:tabs>
        <w:jc w:val="left"/>
        <w:rPr>
          <w:rFonts w:asciiTheme="minorHAnsi" w:hAnsiTheme="minorHAnsi" w:cstheme="minorHAnsi"/>
          <w:sz w:val="22"/>
          <w:szCs w:val="22"/>
        </w:rPr>
      </w:pPr>
      <w:r w:rsidRPr="007A377E">
        <w:rPr>
          <w:rFonts w:asciiTheme="minorHAnsi" w:hAnsiTheme="minorHAnsi" w:cstheme="minorHAnsi"/>
          <w:sz w:val="22"/>
          <w:szCs w:val="22"/>
        </w:rPr>
        <w:tab/>
      </w:r>
      <w:r w:rsidR="00920140" w:rsidRPr="007A377E">
        <w:rPr>
          <w:rFonts w:asciiTheme="minorHAnsi" w:hAnsiTheme="minorHAnsi" w:cstheme="minorHAnsi"/>
          <w:sz w:val="22"/>
          <w:szCs w:val="22"/>
        </w:rPr>
        <w:br w:type="page"/>
      </w:r>
    </w:p>
    <w:p w14:paraId="08BD33EE" w14:textId="4AEDDF35" w:rsidR="00920140" w:rsidRPr="007A377E" w:rsidRDefault="00920140">
      <w:pPr>
        <w:rPr>
          <w:rFonts w:asciiTheme="minorHAnsi" w:hAnsiTheme="minorHAnsi" w:cstheme="minorHAnsi"/>
          <w:sz w:val="22"/>
          <w:lang w:val="fr-BE"/>
        </w:rPr>
      </w:pPr>
    </w:p>
    <w:tbl>
      <w:tblPr>
        <w:tblStyle w:val="Tabelraster"/>
        <w:tblW w:w="0" w:type="auto"/>
        <w:tblLook w:val="04A0" w:firstRow="1" w:lastRow="0" w:firstColumn="1" w:lastColumn="0" w:noHBand="0" w:noVBand="1"/>
      </w:tblPr>
      <w:tblGrid>
        <w:gridCol w:w="4508"/>
        <w:gridCol w:w="4508"/>
      </w:tblGrid>
      <w:tr w:rsidR="00A80C6F" w:rsidRPr="007A377E" w14:paraId="57BD4400" w14:textId="77777777" w:rsidTr="0025113D">
        <w:tc>
          <w:tcPr>
            <w:tcW w:w="4508" w:type="dxa"/>
          </w:tcPr>
          <w:p w14:paraId="47644D2A" w14:textId="2FA5DA87" w:rsidR="00A80C6F" w:rsidRPr="007A377E" w:rsidRDefault="00A80C6F" w:rsidP="00045A81">
            <w:pPr>
              <w:jc w:val="center"/>
              <w:rPr>
                <w:rFonts w:asciiTheme="minorHAnsi" w:hAnsiTheme="minorHAnsi" w:cstheme="minorHAnsi"/>
                <w:sz w:val="22"/>
                <w:lang w:val="fr-BE"/>
              </w:rPr>
            </w:pPr>
            <w:r w:rsidRPr="007A377E">
              <w:rPr>
                <w:rFonts w:asciiTheme="minorHAnsi" w:hAnsiTheme="minorHAnsi" w:cstheme="minorHAnsi"/>
                <w:b/>
                <w:bCs/>
                <w:sz w:val="22"/>
                <w:lang w:val="fr-FR" w:eastAsia="fr-FR"/>
              </w:rPr>
              <w:t>Projet de loi relatif à la collecte et à la conservation des données d’identification et des métadonnées dans le secteur des communications électroniques et à la fourniture de ces données aux autorités</w:t>
            </w:r>
          </w:p>
        </w:tc>
        <w:tc>
          <w:tcPr>
            <w:tcW w:w="4508" w:type="dxa"/>
          </w:tcPr>
          <w:p w14:paraId="6DF128F5" w14:textId="323AAC0F" w:rsidR="00A80C6F" w:rsidRPr="007A377E" w:rsidRDefault="00A80C6F" w:rsidP="00045A81">
            <w:pPr>
              <w:jc w:val="center"/>
              <w:rPr>
                <w:rFonts w:asciiTheme="minorHAnsi" w:hAnsiTheme="minorHAnsi" w:cstheme="minorHAnsi"/>
                <w:sz w:val="22"/>
              </w:rPr>
            </w:pPr>
            <w:r w:rsidRPr="007A377E">
              <w:rPr>
                <w:rFonts w:asciiTheme="minorHAnsi" w:hAnsiTheme="minorHAnsi" w:cstheme="minorHAnsi"/>
                <w:b/>
                <w:bCs/>
                <w:sz w:val="22"/>
                <w:lang w:eastAsia="fr-FR"/>
              </w:rPr>
              <w:t>Wetsontwerp betreffende het verzamelen en het bewaren van de identificatiegegevens en van metagegevens in de sector van de elektronische communicatie en de verstrekking ervan aan de autoriteiten</w:t>
            </w:r>
          </w:p>
        </w:tc>
      </w:tr>
      <w:tr w:rsidR="00A80C6F" w:rsidRPr="007A377E" w14:paraId="3C4A5681" w14:textId="77777777" w:rsidTr="0025113D">
        <w:tc>
          <w:tcPr>
            <w:tcW w:w="4508" w:type="dxa"/>
          </w:tcPr>
          <w:p w14:paraId="12E69DBA" w14:textId="77777777" w:rsidR="00A80C6F" w:rsidRPr="007A377E" w:rsidRDefault="00A80C6F" w:rsidP="00A80C6F">
            <w:pPr>
              <w:rPr>
                <w:rFonts w:asciiTheme="minorHAnsi" w:hAnsiTheme="minorHAnsi" w:cstheme="minorHAnsi"/>
                <w:sz w:val="22"/>
              </w:rPr>
            </w:pPr>
          </w:p>
        </w:tc>
        <w:tc>
          <w:tcPr>
            <w:tcW w:w="4508" w:type="dxa"/>
          </w:tcPr>
          <w:p w14:paraId="343DA75C" w14:textId="77777777" w:rsidR="00A80C6F" w:rsidRPr="007A377E" w:rsidRDefault="00A80C6F" w:rsidP="00A80C6F">
            <w:pPr>
              <w:rPr>
                <w:rFonts w:asciiTheme="minorHAnsi" w:hAnsiTheme="minorHAnsi" w:cstheme="minorHAnsi"/>
                <w:sz w:val="22"/>
              </w:rPr>
            </w:pPr>
          </w:p>
        </w:tc>
      </w:tr>
      <w:tr w:rsidR="00A80C6F" w:rsidRPr="007A377E" w14:paraId="1F712FB0" w14:textId="77777777" w:rsidTr="0025113D">
        <w:tc>
          <w:tcPr>
            <w:tcW w:w="4508" w:type="dxa"/>
          </w:tcPr>
          <w:p w14:paraId="576B9371" w14:textId="45038B13" w:rsidR="00A80C6F" w:rsidRPr="007A377E" w:rsidRDefault="00A80C6F" w:rsidP="00F56ABA">
            <w:pPr>
              <w:pStyle w:val="Kop1"/>
              <w:outlineLvl w:val="0"/>
              <w:rPr>
                <w:rFonts w:asciiTheme="minorHAnsi" w:hAnsiTheme="minorHAnsi" w:cstheme="minorHAnsi"/>
                <w:szCs w:val="22"/>
                <w:lang w:val="fr-BE"/>
              </w:rPr>
            </w:pPr>
            <w:bookmarkStart w:id="0" w:name="_Toc94800250"/>
            <w:bookmarkStart w:id="1" w:name="Amendement"/>
            <w:bookmarkStart w:id="2" w:name="_Toc96612088"/>
            <w:r w:rsidRPr="007A377E">
              <w:rPr>
                <w:rFonts w:asciiTheme="minorHAnsi" w:hAnsiTheme="minorHAnsi" w:cstheme="minorHAnsi"/>
                <w:szCs w:val="22"/>
                <w:lang w:val="fr-BE" w:eastAsia="fr-FR"/>
              </w:rPr>
              <w:t xml:space="preserve">Amendement n° </w:t>
            </w:r>
            <w:bookmarkEnd w:id="0"/>
            <w:bookmarkEnd w:id="1"/>
            <w:r w:rsidR="00CB622F" w:rsidRPr="007A377E">
              <w:rPr>
                <w:rFonts w:asciiTheme="minorHAnsi" w:hAnsiTheme="minorHAnsi" w:cstheme="minorHAnsi"/>
                <w:szCs w:val="22"/>
                <w:lang w:val="fr-BE" w:eastAsia="fr-FR"/>
              </w:rPr>
              <w:t>10</w:t>
            </w:r>
            <w:bookmarkEnd w:id="2"/>
          </w:p>
        </w:tc>
        <w:tc>
          <w:tcPr>
            <w:tcW w:w="4508" w:type="dxa"/>
          </w:tcPr>
          <w:p w14:paraId="55044252" w14:textId="1B2C4C1F" w:rsidR="00A80C6F" w:rsidRPr="007A377E" w:rsidRDefault="00A80C6F" w:rsidP="00F56ABA">
            <w:pPr>
              <w:pStyle w:val="Kop1"/>
              <w:outlineLvl w:val="0"/>
              <w:rPr>
                <w:rFonts w:asciiTheme="minorHAnsi" w:hAnsiTheme="minorHAnsi" w:cstheme="minorHAnsi"/>
                <w:szCs w:val="22"/>
              </w:rPr>
            </w:pPr>
            <w:bookmarkStart w:id="3" w:name="_Toc94800251"/>
            <w:bookmarkStart w:id="4" w:name="_Toc96612089"/>
            <w:r w:rsidRPr="007A377E">
              <w:rPr>
                <w:rFonts w:asciiTheme="minorHAnsi" w:hAnsiTheme="minorHAnsi" w:cstheme="minorHAnsi"/>
                <w:szCs w:val="22"/>
                <w:lang w:eastAsia="fr-FR"/>
              </w:rPr>
              <w:t xml:space="preserve">Amendement nr. </w:t>
            </w:r>
            <w:bookmarkEnd w:id="3"/>
            <w:r w:rsidR="00CB622F" w:rsidRPr="007A377E">
              <w:rPr>
                <w:rFonts w:asciiTheme="minorHAnsi" w:hAnsiTheme="minorHAnsi" w:cstheme="minorHAnsi"/>
                <w:szCs w:val="22"/>
                <w:lang w:eastAsia="fr-FR"/>
              </w:rPr>
              <w:t>10</w:t>
            </w:r>
            <w:bookmarkEnd w:id="4"/>
          </w:p>
        </w:tc>
      </w:tr>
      <w:tr w:rsidR="00A80C6F" w:rsidRPr="007A377E" w14:paraId="73499F0C" w14:textId="77777777" w:rsidTr="0025113D">
        <w:tc>
          <w:tcPr>
            <w:tcW w:w="4508" w:type="dxa"/>
          </w:tcPr>
          <w:p w14:paraId="0EE1B3EA" w14:textId="77777777" w:rsidR="00A80C6F" w:rsidRPr="007A377E" w:rsidRDefault="00A80C6F" w:rsidP="00A80C6F">
            <w:pPr>
              <w:rPr>
                <w:rFonts w:asciiTheme="minorHAnsi" w:hAnsiTheme="minorHAnsi" w:cstheme="minorHAnsi"/>
                <w:sz w:val="22"/>
                <w:lang w:eastAsia="fr-FR"/>
              </w:rPr>
            </w:pPr>
          </w:p>
        </w:tc>
        <w:tc>
          <w:tcPr>
            <w:tcW w:w="4508" w:type="dxa"/>
          </w:tcPr>
          <w:p w14:paraId="03BFE1E4" w14:textId="77777777" w:rsidR="00A80C6F" w:rsidRPr="007A377E" w:rsidRDefault="00A80C6F" w:rsidP="00A80C6F">
            <w:pPr>
              <w:rPr>
                <w:rFonts w:asciiTheme="minorHAnsi" w:hAnsiTheme="minorHAnsi" w:cstheme="minorHAnsi"/>
                <w:sz w:val="22"/>
                <w:lang w:eastAsia="fr-FR"/>
              </w:rPr>
            </w:pPr>
          </w:p>
        </w:tc>
      </w:tr>
      <w:tr w:rsidR="00A80C6F" w:rsidRPr="007A377E" w14:paraId="4B87E2DD" w14:textId="77777777" w:rsidTr="0025113D">
        <w:tc>
          <w:tcPr>
            <w:tcW w:w="4508" w:type="dxa"/>
          </w:tcPr>
          <w:p w14:paraId="199E1515" w14:textId="2B0508C9" w:rsidR="00A80C6F" w:rsidRPr="007A377E" w:rsidRDefault="00A80C6F" w:rsidP="00294B75">
            <w:pPr>
              <w:jc w:val="center"/>
              <w:rPr>
                <w:rFonts w:asciiTheme="minorHAnsi" w:hAnsiTheme="minorHAnsi" w:cstheme="minorHAnsi"/>
                <w:b/>
                <w:bCs/>
                <w:sz w:val="22"/>
              </w:rPr>
            </w:pPr>
            <w:r w:rsidRPr="007A377E">
              <w:rPr>
                <w:rFonts w:asciiTheme="minorHAnsi" w:hAnsiTheme="minorHAnsi" w:cstheme="minorHAnsi"/>
                <w:b/>
                <w:bCs/>
                <w:sz w:val="22"/>
                <w:lang w:eastAsia="fr-FR"/>
              </w:rPr>
              <w:t>Art</w:t>
            </w:r>
            <w:r w:rsidR="00FF0280" w:rsidRPr="007A377E">
              <w:rPr>
                <w:rFonts w:asciiTheme="minorHAnsi" w:hAnsiTheme="minorHAnsi" w:cstheme="minorHAnsi"/>
                <w:b/>
                <w:bCs/>
                <w:sz w:val="22"/>
                <w:lang w:eastAsia="fr-FR"/>
              </w:rPr>
              <w:t xml:space="preserve">. </w:t>
            </w:r>
            <w:r w:rsidR="00037235" w:rsidRPr="007A377E">
              <w:rPr>
                <w:rFonts w:asciiTheme="minorHAnsi" w:hAnsiTheme="minorHAnsi" w:cstheme="minorHAnsi"/>
                <w:b/>
                <w:bCs/>
                <w:sz w:val="22"/>
                <w:lang w:eastAsia="fr-FR"/>
              </w:rPr>
              <w:t>1</w:t>
            </w:r>
            <w:r w:rsidR="0050657B" w:rsidRPr="007A377E">
              <w:rPr>
                <w:rFonts w:asciiTheme="minorHAnsi" w:hAnsiTheme="minorHAnsi" w:cstheme="minorHAnsi"/>
                <w:b/>
                <w:bCs/>
                <w:sz w:val="22"/>
                <w:lang w:eastAsia="fr-FR"/>
              </w:rPr>
              <w:t>6</w:t>
            </w:r>
          </w:p>
        </w:tc>
        <w:tc>
          <w:tcPr>
            <w:tcW w:w="4508" w:type="dxa"/>
          </w:tcPr>
          <w:p w14:paraId="609B93F4" w14:textId="468130A1" w:rsidR="00A80C6F" w:rsidRPr="007A377E" w:rsidRDefault="00A80C6F" w:rsidP="00294B75">
            <w:pPr>
              <w:jc w:val="center"/>
              <w:rPr>
                <w:rFonts w:asciiTheme="minorHAnsi" w:hAnsiTheme="minorHAnsi" w:cstheme="minorHAnsi"/>
                <w:b/>
                <w:bCs/>
                <w:sz w:val="22"/>
              </w:rPr>
            </w:pPr>
            <w:r w:rsidRPr="007A377E">
              <w:rPr>
                <w:rFonts w:asciiTheme="minorHAnsi" w:hAnsiTheme="minorHAnsi" w:cstheme="minorHAnsi"/>
                <w:b/>
                <w:bCs/>
                <w:sz w:val="22"/>
                <w:lang w:eastAsia="fr-FR"/>
              </w:rPr>
              <w:t>Art</w:t>
            </w:r>
            <w:r w:rsidR="00FF0280" w:rsidRPr="007A377E">
              <w:rPr>
                <w:rFonts w:asciiTheme="minorHAnsi" w:hAnsiTheme="minorHAnsi" w:cstheme="minorHAnsi"/>
                <w:b/>
                <w:bCs/>
                <w:sz w:val="22"/>
                <w:lang w:eastAsia="fr-FR"/>
              </w:rPr>
              <w:t>.</w:t>
            </w:r>
            <w:r w:rsidRPr="007A377E">
              <w:rPr>
                <w:rFonts w:asciiTheme="minorHAnsi" w:hAnsiTheme="minorHAnsi" w:cstheme="minorHAnsi"/>
                <w:b/>
                <w:bCs/>
                <w:sz w:val="22"/>
                <w:lang w:eastAsia="fr-FR"/>
              </w:rPr>
              <w:t xml:space="preserve"> </w:t>
            </w:r>
            <w:r w:rsidR="00037235" w:rsidRPr="007A377E">
              <w:rPr>
                <w:rFonts w:asciiTheme="minorHAnsi" w:hAnsiTheme="minorHAnsi" w:cstheme="minorHAnsi"/>
                <w:b/>
                <w:bCs/>
                <w:sz w:val="22"/>
                <w:lang w:eastAsia="fr-FR"/>
              </w:rPr>
              <w:t>1</w:t>
            </w:r>
            <w:r w:rsidR="0050657B" w:rsidRPr="007A377E">
              <w:rPr>
                <w:rFonts w:asciiTheme="minorHAnsi" w:hAnsiTheme="minorHAnsi" w:cstheme="minorHAnsi"/>
                <w:b/>
                <w:bCs/>
                <w:sz w:val="22"/>
                <w:lang w:eastAsia="fr-FR"/>
              </w:rPr>
              <w:t>6</w:t>
            </w:r>
          </w:p>
        </w:tc>
      </w:tr>
      <w:tr w:rsidR="00A80C6F" w:rsidRPr="007A377E" w14:paraId="278B158A" w14:textId="77777777" w:rsidTr="0025113D">
        <w:tc>
          <w:tcPr>
            <w:tcW w:w="4508" w:type="dxa"/>
          </w:tcPr>
          <w:p w14:paraId="6623DE43" w14:textId="77777777" w:rsidR="00A80C6F" w:rsidRPr="007A377E" w:rsidRDefault="00A80C6F" w:rsidP="00A80C6F">
            <w:pPr>
              <w:rPr>
                <w:rFonts w:asciiTheme="minorHAnsi" w:hAnsiTheme="minorHAnsi" w:cstheme="minorHAnsi"/>
                <w:b/>
                <w:bCs/>
                <w:sz w:val="22"/>
                <w:lang w:eastAsia="fr-FR"/>
              </w:rPr>
            </w:pPr>
          </w:p>
        </w:tc>
        <w:tc>
          <w:tcPr>
            <w:tcW w:w="4508" w:type="dxa"/>
          </w:tcPr>
          <w:p w14:paraId="09128BD5" w14:textId="77777777" w:rsidR="00A80C6F" w:rsidRPr="007A377E" w:rsidRDefault="00A80C6F" w:rsidP="00A80C6F">
            <w:pPr>
              <w:rPr>
                <w:rFonts w:asciiTheme="minorHAnsi" w:hAnsiTheme="minorHAnsi" w:cstheme="minorHAnsi"/>
                <w:b/>
                <w:bCs/>
                <w:sz w:val="22"/>
                <w:lang w:eastAsia="fr-FR"/>
              </w:rPr>
            </w:pPr>
          </w:p>
        </w:tc>
      </w:tr>
      <w:tr w:rsidR="00136EDB" w:rsidRPr="00D77B9F" w14:paraId="7C1EC728" w14:textId="77777777" w:rsidTr="0025113D">
        <w:tc>
          <w:tcPr>
            <w:tcW w:w="4508" w:type="dxa"/>
          </w:tcPr>
          <w:p w14:paraId="06D07AD9" w14:textId="4BA01095" w:rsidR="0050657B" w:rsidRPr="007A377E" w:rsidRDefault="0050657B" w:rsidP="00136EDB">
            <w:pPr>
              <w:jc w:val="both"/>
              <w:rPr>
                <w:rFonts w:asciiTheme="minorHAnsi" w:hAnsiTheme="minorHAnsi" w:cstheme="minorHAnsi"/>
                <w:sz w:val="22"/>
                <w:lang w:val="fr-BE"/>
              </w:rPr>
            </w:pPr>
            <w:r w:rsidRPr="007A377E">
              <w:rPr>
                <w:rFonts w:asciiTheme="minorHAnsi" w:hAnsiTheme="minorHAnsi" w:cstheme="minorHAnsi"/>
                <w:sz w:val="22"/>
                <w:lang w:val="fr-BE"/>
              </w:rPr>
              <w:t>La modification proposée</w:t>
            </w:r>
            <w:r w:rsidR="00FF0280" w:rsidRPr="007A377E">
              <w:rPr>
                <w:rFonts w:asciiTheme="minorHAnsi" w:hAnsiTheme="minorHAnsi" w:cstheme="minorHAnsi"/>
                <w:sz w:val="22"/>
                <w:lang w:val="fr-BE"/>
              </w:rPr>
              <w:t xml:space="preserve"> à l’article </w:t>
            </w:r>
            <w:r w:rsidR="00E431EB" w:rsidRPr="007A377E">
              <w:rPr>
                <w:rFonts w:asciiTheme="minorHAnsi" w:hAnsiTheme="minorHAnsi" w:cstheme="minorHAnsi"/>
                <w:sz w:val="22"/>
                <w:lang w:val="fr-BE"/>
              </w:rPr>
              <w:t>2, alinéa 1</w:t>
            </w:r>
            <w:r w:rsidR="00E431EB" w:rsidRPr="007A377E">
              <w:rPr>
                <w:rFonts w:asciiTheme="minorHAnsi" w:hAnsiTheme="minorHAnsi" w:cstheme="minorHAnsi"/>
                <w:sz w:val="22"/>
                <w:vertAlign w:val="superscript"/>
                <w:lang w:val="fr-BE"/>
              </w:rPr>
              <w:t>er</w:t>
            </w:r>
            <w:r w:rsidR="00E431EB" w:rsidRPr="007A377E">
              <w:rPr>
                <w:rFonts w:asciiTheme="minorHAnsi" w:hAnsiTheme="minorHAnsi" w:cstheme="minorHAnsi"/>
                <w:sz w:val="22"/>
                <w:lang w:val="fr-BE"/>
              </w:rPr>
              <w:t xml:space="preserve">, </w:t>
            </w:r>
            <w:r w:rsidR="00622C52" w:rsidRPr="007A377E">
              <w:rPr>
                <w:rFonts w:asciiTheme="minorHAnsi" w:hAnsiTheme="minorHAnsi" w:cstheme="minorHAnsi"/>
                <w:bCs/>
                <w:sz w:val="22"/>
                <w:lang w:val="fr-BE"/>
              </w:rPr>
              <w:t xml:space="preserve">de la loi </w:t>
            </w:r>
            <w:r w:rsidR="00622C52" w:rsidRPr="007A377E">
              <w:rPr>
                <w:rFonts w:asciiTheme="minorHAnsi" w:hAnsiTheme="minorHAnsi" w:cstheme="minorHAnsi"/>
                <w:bCs/>
                <w:spacing w:val="-3"/>
                <w:sz w:val="22"/>
                <w:lang w:val="fr-BE"/>
              </w:rPr>
              <w:t xml:space="preserve">du 17 janvier 2003 relative au statut du régulateur des secteurs des postes et des télécommunications </w:t>
            </w:r>
            <w:r w:rsidR="00622C52" w:rsidRPr="00D77B9F">
              <w:rPr>
                <w:rFonts w:asciiTheme="minorHAnsi" w:hAnsiTheme="minorHAnsi" w:cstheme="minorHAnsi"/>
                <w:bCs/>
                <w:spacing w:val="-3"/>
                <w:sz w:val="22"/>
                <w:lang w:val="fr-BE"/>
              </w:rPr>
              <w:t>belges</w:t>
            </w:r>
            <w:r w:rsidRPr="00D77B9F">
              <w:rPr>
                <w:rFonts w:asciiTheme="minorHAnsi" w:hAnsiTheme="minorHAnsi" w:cstheme="minorHAnsi"/>
                <w:sz w:val="22"/>
                <w:lang w:val="fr-BE"/>
              </w:rPr>
              <w:t xml:space="preserve"> est remplacée par ce qui suit</w:t>
            </w:r>
            <w:r w:rsidR="001075A2" w:rsidRPr="00D77B9F">
              <w:rPr>
                <w:rFonts w:asciiTheme="minorHAnsi" w:hAnsiTheme="minorHAnsi" w:cstheme="minorHAnsi"/>
                <w:sz w:val="22"/>
                <w:lang w:val="fr-BE"/>
              </w:rPr>
              <w:t xml:space="preserve">. </w:t>
            </w:r>
          </w:p>
        </w:tc>
        <w:tc>
          <w:tcPr>
            <w:tcW w:w="4508" w:type="dxa"/>
          </w:tcPr>
          <w:p w14:paraId="07059481" w14:textId="30E3FCC3" w:rsidR="00136EDB" w:rsidRPr="00FD3270" w:rsidRDefault="00FD3270" w:rsidP="00136EDB">
            <w:pPr>
              <w:jc w:val="both"/>
              <w:rPr>
                <w:rFonts w:asciiTheme="minorHAnsi" w:hAnsiTheme="minorHAnsi" w:cstheme="minorHAnsi"/>
                <w:sz w:val="22"/>
              </w:rPr>
            </w:pPr>
            <w:r w:rsidRPr="003A1B2B">
              <w:rPr>
                <w:rFonts w:asciiTheme="minorHAnsi" w:hAnsiTheme="minorHAnsi" w:cstheme="minorHAnsi"/>
                <w:sz w:val="22"/>
              </w:rPr>
              <w:t xml:space="preserve">De voorgestelde wijziging in artikel 2, eerste lid, van de wet van 17 januari 2003 met betrekking tot het statuut van de regulator van de Belgische post- en telecommunicatiesector wordt vervangen als volgt. </w:t>
            </w:r>
          </w:p>
        </w:tc>
      </w:tr>
      <w:tr w:rsidR="0050657B" w:rsidRPr="00D77B9F" w14:paraId="4BF6BBE7" w14:textId="77777777" w:rsidTr="0025113D">
        <w:tc>
          <w:tcPr>
            <w:tcW w:w="4508" w:type="dxa"/>
          </w:tcPr>
          <w:p w14:paraId="63C5A95D" w14:textId="77777777" w:rsidR="0050657B" w:rsidRPr="00FD3270" w:rsidRDefault="0050657B" w:rsidP="00136EDB">
            <w:pPr>
              <w:jc w:val="both"/>
              <w:rPr>
                <w:rFonts w:asciiTheme="minorHAnsi" w:hAnsiTheme="minorHAnsi" w:cstheme="minorHAnsi"/>
                <w:sz w:val="22"/>
              </w:rPr>
            </w:pPr>
          </w:p>
        </w:tc>
        <w:tc>
          <w:tcPr>
            <w:tcW w:w="4508" w:type="dxa"/>
          </w:tcPr>
          <w:p w14:paraId="30FF4494" w14:textId="77777777" w:rsidR="0050657B" w:rsidRPr="00FD3270" w:rsidRDefault="0050657B" w:rsidP="00136EDB">
            <w:pPr>
              <w:jc w:val="both"/>
              <w:rPr>
                <w:rFonts w:asciiTheme="minorHAnsi" w:hAnsiTheme="minorHAnsi" w:cstheme="minorHAnsi"/>
                <w:sz w:val="22"/>
              </w:rPr>
            </w:pPr>
          </w:p>
        </w:tc>
      </w:tr>
      <w:tr w:rsidR="008E6B40" w:rsidRPr="008E6B40" w14:paraId="2BB75B34" w14:textId="77777777" w:rsidTr="0025113D">
        <w:tc>
          <w:tcPr>
            <w:tcW w:w="4508" w:type="dxa"/>
          </w:tcPr>
          <w:p w14:paraId="0F94D8B5" w14:textId="56A8F653" w:rsidR="008E6B40" w:rsidRPr="00CD7533" w:rsidRDefault="008E6B40" w:rsidP="00136EDB">
            <w:pPr>
              <w:jc w:val="both"/>
              <w:rPr>
                <w:rFonts w:ascii="Calibri" w:hAnsi="Calibri" w:cs="Calibri"/>
                <w:sz w:val="22"/>
                <w:lang w:val="fr-BE"/>
              </w:rPr>
            </w:pPr>
            <w:r w:rsidRPr="00CD7533">
              <w:rPr>
                <w:rFonts w:ascii="Calibri" w:hAnsi="Calibri" w:cs="Calibri"/>
                <w:sz w:val="22"/>
                <w:lang w:val="fr-BE"/>
              </w:rPr>
              <w:t>Cet article 2, alinéa 1</w:t>
            </w:r>
            <w:r w:rsidRPr="00CD7533">
              <w:rPr>
                <w:rFonts w:ascii="Calibri" w:hAnsi="Calibri" w:cs="Calibri"/>
                <w:sz w:val="22"/>
                <w:vertAlign w:val="superscript"/>
                <w:lang w:val="fr-BE"/>
              </w:rPr>
              <w:t>er</w:t>
            </w:r>
            <w:r w:rsidRPr="00CD7533">
              <w:rPr>
                <w:rFonts w:ascii="Calibri" w:hAnsi="Calibri" w:cs="Calibri"/>
                <w:sz w:val="22"/>
                <w:lang w:val="fr-BE"/>
              </w:rPr>
              <w:t>, est complété par le 5°, rédigé comme suit :</w:t>
            </w:r>
          </w:p>
        </w:tc>
        <w:tc>
          <w:tcPr>
            <w:tcW w:w="4508" w:type="dxa"/>
          </w:tcPr>
          <w:p w14:paraId="5C4A5BFA" w14:textId="35649E88" w:rsidR="008E6B40" w:rsidRPr="00CD7533" w:rsidRDefault="008E6B40" w:rsidP="00136EDB">
            <w:pPr>
              <w:jc w:val="both"/>
              <w:rPr>
                <w:rFonts w:ascii="Calibri" w:hAnsi="Calibri" w:cs="Calibri"/>
                <w:sz w:val="22"/>
              </w:rPr>
            </w:pPr>
            <w:r w:rsidRPr="00CD7533">
              <w:rPr>
                <w:rFonts w:ascii="Calibri" w:hAnsi="Calibri" w:cs="Calibri"/>
                <w:sz w:val="22"/>
              </w:rPr>
              <w:t>Dit artikel 2, eerste lid, wordt aangevuld met een bepaling onder 5°, luidende:</w:t>
            </w:r>
          </w:p>
        </w:tc>
      </w:tr>
      <w:tr w:rsidR="008E6B40" w:rsidRPr="008E6B40" w14:paraId="1728A7EC" w14:textId="77777777" w:rsidTr="0025113D">
        <w:tc>
          <w:tcPr>
            <w:tcW w:w="4508" w:type="dxa"/>
          </w:tcPr>
          <w:p w14:paraId="7C6948E3" w14:textId="77777777" w:rsidR="008E6B40" w:rsidRPr="00CD7533" w:rsidRDefault="008E6B40" w:rsidP="00136EDB">
            <w:pPr>
              <w:jc w:val="both"/>
              <w:rPr>
                <w:rFonts w:ascii="Calibri" w:hAnsi="Calibri" w:cs="Calibri"/>
                <w:sz w:val="22"/>
              </w:rPr>
            </w:pPr>
          </w:p>
        </w:tc>
        <w:tc>
          <w:tcPr>
            <w:tcW w:w="4508" w:type="dxa"/>
          </w:tcPr>
          <w:p w14:paraId="6E1E301D" w14:textId="77777777" w:rsidR="008E6B40" w:rsidRPr="00CD7533" w:rsidRDefault="008E6B40" w:rsidP="00136EDB">
            <w:pPr>
              <w:jc w:val="both"/>
              <w:rPr>
                <w:rFonts w:ascii="Calibri" w:hAnsi="Calibri" w:cs="Calibri"/>
                <w:sz w:val="22"/>
              </w:rPr>
            </w:pPr>
          </w:p>
        </w:tc>
      </w:tr>
      <w:tr w:rsidR="00303A31" w:rsidRPr="00D77B9F" w14:paraId="1CBE8420" w14:textId="77777777" w:rsidTr="0025113D">
        <w:tc>
          <w:tcPr>
            <w:tcW w:w="4508" w:type="dxa"/>
          </w:tcPr>
          <w:p w14:paraId="72148350" w14:textId="0A90C181" w:rsidR="00303A31" w:rsidRPr="00CD7533" w:rsidRDefault="003A24C7" w:rsidP="00136EDB">
            <w:pPr>
              <w:jc w:val="both"/>
              <w:rPr>
                <w:rFonts w:ascii="Calibri" w:hAnsi="Calibri" w:cs="Calibri"/>
                <w:sz w:val="22"/>
                <w:lang w:val="fr-BE"/>
              </w:rPr>
            </w:pPr>
            <w:r>
              <w:rPr>
                <w:rFonts w:ascii="Calibri" w:hAnsi="Calibri" w:cs="Calibri"/>
                <w:sz w:val="22"/>
                <w:lang w:val="fr-BE"/>
              </w:rPr>
              <w:t>« </w:t>
            </w:r>
            <w:r w:rsidR="00CD7533" w:rsidRPr="00CD7533">
              <w:rPr>
                <w:rFonts w:ascii="Calibri" w:hAnsi="Calibri" w:cs="Calibri"/>
                <w:sz w:val="22"/>
                <w:lang w:val="fr-BE"/>
              </w:rPr>
              <w:t xml:space="preserve">5° Données relatives à l’abonné ou à l’utilisateur habituel du service : </w:t>
            </w:r>
            <w:r w:rsidR="00CD7533" w:rsidRPr="00CD7533">
              <w:rPr>
                <w:rFonts w:ascii="Calibri" w:hAnsi="Calibri" w:cs="Calibri"/>
                <w:sz w:val="22"/>
                <w:lang w:val="fr-FR"/>
              </w:rPr>
              <w:t>les données relatives à l’abonné ou à l’utilisateur habituel du service de communications électroniques,</w:t>
            </w:r>
          </w:p>
        </w:tc>
        <w:tc>
          <w:tcPr>
            <w:tcW w:w="4508" w:type="dxa"/>
          </w:tcPr>
          <w:p w14:paraId="17FE959E" w14:textId="20A41A60" w:rsidR="00303A31" w:rsidRPr="00CD7533" w:rsidRDefault="003A24C7" w:rsidP="00136EDB">
            <w:pPr>
              <w:jc w:val="both"/>
              <w:rPr>
                <w:rFonts w:ascii="Calibri" w:hAnsi="Calibri" w:cs="Calibri"/>
                <w:sz w:val="22"/>
              </w:rPr>
            </w:pPr>
            <w:r>
              <w:rPr>
                <w:rFonts w:ascii="Calibri" w:hAnsi="Calibri" w:cs="Calibri"/>
                <w:sz w:val="22"/>
              </w:rPr>
              <w:t>“</w:t>
            </w:r>
            <w:r w:rsidR="00CD7533" w:rsidRPr="00CD7533">
              <w:rPr>
                <w:rFonts w:ascii="Calibri" w:hAnsi="Calibri" w:cs="Calibri"/>
                <w:sz w:val="22"/>
              </w:rPr>
              <w:t>5° Gegevens betreffende de abonnee of de gewoonlijke gebruiker van de dienst: de gegevens betreffende de abonnee of de gewoonlijke gebruiker van de elektronische-communicatiedienst,</w:t>
            </w:r>
          </w:p>
        </w:tc>
      </w:tr>
      <w:tr w:rsidR="00303A31" w:rsidRPr="00D77B9F" w14:paraId="150D9C07" w14:textId="77777777" w:rsidTr="0025113D">
        <w:tc>
          <w:tcPr>
            <w:tcW w:w="4508" w:type="dxa"/>
          </w:tcPr>
          <w:p w14:paraId="5CF45A1F" w14:textId="77777777" w:rsidR="00303A31" w:rsidRPr="00CD7533" w:rsidRDefault="00303A31" w:rsidP="00136EDB">
            <w:pPr>
              <w:jc w:val="both"/>
              <w:rPr>
                <w:rFonts w:ascii="Calibri" w:hAnsi="Calibri" w:cs="Calibri"/>
                <w:sz w:val="22"/>
              </w:rPr>
            </w:pPr>
          </w:p>
        </w:tc>
        <w:tc>
          <w:tcPr>
            <w:tcW w:w="4508" w:type="dxa"/>
          </w:tcPr>
          <w:p w14:paraId="25324855" w14:textId="77777777" w:rsidR="00303A31" w:rsidRPr="00CD7533" w:rsidRDefault="00303A31" w:rsidP="00136EDB">
            <w:pPr>
              <w:jc w:val="both"/>
              <w:rPr>
                <w:rFonts w:ascii="Calibri" w:hAnsi="Calibri" w:cs="Calibri"/>
                <w:sz w:val="22"/>
              </w:rPr>
            </w:pPr>
          </w:p>
        </w:tc>
      </w:tr>
      <w:tr w:rsidR="00CD7533" w:rsidRPr="00CD7533" w14:paraId="15CB680B" w14:textId="77777777" w:rsidTr="0025113D">
        <w:tc>
          <w:tcPr>
            <w:tcW w:w="4508" w:type="dxa"/>
          </w:tcPr>
          <w:p w14:paraId="67EDA4AA" w14:textId="1C6F7CE1" w:rsidR="00CD7533" w:rsidRPr="00CD7533" w:rsidRDefault="00CD7533" w:rsidP="00CD7533">
            <w:pPr>
              <w:jc w:val="both"/>
              <w:rPr>
                <w:rFonts w:ascii="Calibri" w:hAnsi="Calibri" w:cs="Calibri"/>
                <w:sz w:val="22"/>
                <w:lang w:val="fr-BE"/>
              </w:rPr>
            </w:pPr>
            <w:r w:rsidRPr="00CD7533">
              <w:rPr>
                <w:rFonts w:ascii="Calibri" w:hAnsi="Calibri" w:cs="Calibri"/>
                <w:sz w:val="22"/>
                <w:lang w:val="fr-FR"/>
              </w:rPr>
              <w:t>- visées aux articles 126 et 127 de la loi du 13 juin 2005 relative aux communications électroniques, ou ;</w:t>
            </w:r>
          </w:p>
        </w:tc>
        <w:tc>
          <w:tcPr>
            <w:tcW w:w="4508" w:type="dxa"/>
          </w:tcPr>
          <w:p w14:paraId="22D30DF6" w14:textId="5FB02445" w:rsidR="00CD7533" w:rsidRPr="00CD7533" w:rsidRDefault="00CD7533" w:rsidP="00CD7533">
            <w:pPr>
              <w:tabs>
                <w:tab w:val="left" w:pos="2670"/>
              </w:tabs>
              <w:rPr>
                <w:rFonts w:ascii="Calibri" w:hAnsi="Calibri" w:cs="Calibri"/>
                <w:sz w:val="22"/>
              </w:rPr>
            </w:pPr>
            <w:r w:rsidRPr="00CD7533">
              <w:rPr>
                <w:rFonts w:ascii="Calibri" w:hAnsi="Calibri" w:cs="Calibri"/>
                <w:sz w:val="22"/>
              </w:rPr>
              <w:t>- bedoeld in de artikelen 126 en 127 van de wet van 13 juni 2005 betreffende de elektronische communicatie, of;</w:t>
            </w:r>
          </w:p>
        </w:tc>
      </w:tr>
      <w:tr w:rsidR="00CD7533" w:rsidRPr="00CD7533" w14:paraId="56982523" w14:textId="77777777" w:rsidTr="0025113D">
        <w:tc>
          <w:tcPr>
            <w:tcW w:w="4508" w:type="dxa"/>
          </w:tcPr>
          <w:p w14:paraId="4300AE89" w14:textId="77777777" w:rsidR="00CD7533" w:rsidRPr="00CD7533" w:rsidRDefault="00CD7533" w:rsidP="00CD7533">
            <w:pPr>
              <w:jc w:val="both"/>
              <w:rPr>
                <w:rFonts w:ascii="Calibri" w:hAnsi="Calibri" w:cs="Calibri"/>
                <w:sz w:val="22"/>
              </w:rPr>
            </w:pPr>
          </w:p>
        </w:tc>
        <w:tc>
          <w:tcPr>
            <w:tcW w:w="4508" w:type="dxa"/>
          </w:tcPr>
          <w:p w14:paraId="0C3489D3" w14:textId="77777777" w:rsidR="00CD7533" w:rsidRPr="00CD7533" w:rsidRDefault="00CD7533" w:rsidP="00CD7533">
            <w:pPr>
              <w:jc w:val="both"/>
              <w:rPr>
                <w:rFonts w:ascii="Calibri" w:hAnsi="Calibri" w:cs="Calibri"/>
                <w:sz w:val="22"/>
              </w:rPr>
            </w:pPr>
          </w:p>
        </w:tc>
      </w:tr>
      <w:tr w:rsidR="00CD7533" w:rsidRPr="00CD7533" w14:paraId="35467A10" w14:textId="77777777" w:rsidTr="0025113D">
        <w:tc>
          <w:tcPr>
            <w:tcW w:w="4508" w:type="dxa"/>
          </w:tcPr>
          <w:p w14:paraId="5E290D29" w14:textId="2BFD3FA0" w:rsidR="00CD7533" w:rsidRPr="00CD7533" w:rsidRDefault="00CD7533" w:rsidP="00CD7533">
            <w:pPr>
              <w:jc w:val="both"/>
              <w:rPr>
                <w:rFonts w:ascii="Calibri" w:hAnsi="Calibri" w:cs="Calibri"/>
                <w:sz w:val="22"/>
                <w:lang w:val="fr-BE"/>
              </w:rPr>
            </w:pPr>
            <w:r w:rsidRPr="00CD7533">
              <w:rPr>
                <w:rFonts w:ascii="Calibri" w:hAnsi="Calibri" w:cs="Calibri"/>
                <w:sz w:val="22"/>
                <w:lang w:val="fr-BE"/>
              </w:rPr>
              <w:t>- conservées en vertu de l’article 122 de la loi du 13 juin 2005 relative aux communications électroniques et qui permettent d’identifier l’abonné ou l’utilisateur habituel du service.</w:t>
            </w:r>
            <w:r w:rsidR="003A24C7">
              <w:rPr>
                <w:rFonts w:ascii="Calibri" w:hAnsi="Calibri" w:cs="Calibri"/>
                <w:sz w:val="22"/>
                <w:lang w:val="fr-BE"/>
              </w:rPr>
              <w:t> »</w:t>
            </w:r>
          </w:p>
        </w:tc>
        <w:tc>
          <w:tcPr>
            <w:tcW w:w="4508" w:type="dxa"/>
          </w:tcPr>
          <w:p w14:paraId="67EAC9A4" w14:textId="0D44992B" w:rsidR="00CD7533" w:rsidRPr="00CD7533" w:rsidRDefault="00CD7533" w:rsidP="00CD7533">
            <w:pPr>
              <w:jc w:val="both"/>
              <w:rPr>
                <w:rFonts w:ascii="Calibri" w:hAnsi="Calibri" w:cs="Calibri"/>
                <w:sz w:val="22"/>
              </w:rPr>
            </w:pPr>
            <w:r w:rsidRPr="00CD7533">
              <w:rPr>
                <w:rFonts w:ascii="Calibri" w:hAnsi="Calibri" w:cs="Calibri"/>
                <w:sz w:val="22"/>
              </w:rPr>
              <w:t>- bewaard krachtens artikel 122 van de wet van 13 juni 2005 betreffende de elektronische communicatie en die het mogelijk maken de abonnee of de gewoonlijke gebruiker van de dienst te identificeren.</w:t>
            </w:r>
            <w:r w:rsidR="003A24C7">
              <w:rPr>
                <w:rFonts w:ascii="Calibri" w:hAnsi="Calibri" w:cs="Calibri"/>
                <w:sz w:val="22"/>
              </w:rPr>
              <w:t>”</w:t>
            </w:r>
          </w:p>
        </w:tc>
      </w:tr>
      <w:tr w:rsidR="00CD7533" w:rsidRPr="00CD7533" w14:paraId="2259886A" w14:textId="77777777" w:rsidTr="0025113D">
        <w:tc>
          <w:tcPr>
            <w:tcW w:w="4508" w:type="dxa"/>
          </w:tcPr>
          <w:p w14:paraId="0C8A0473" w14:textId="77777777" w:rsidR="00CD7533" w:rsidRPr="00CD7533" w:rsidRDefault="00CD7533" w:rsidP="00CD7533">
            <w:pPr>
              <w:jc w:val="both"/>
              <w:rPr>
                <w:rFonts w:asciiTheme="minorHAnsi" w:hAnsiTheme="minorHAnsi" w:cstheme="minorHAnsi"/>
                <w:sz w:val="22"/>
              </w:rPr>
            </w:pPr>
          </w:p>
        </w:tc>
        <w:tc>
          <w:tcPr>
            <w:tcW w:w="4508" w:type="dxa"/>
          </w:tcPr>
          <w:p w14:paraId="25D97490" w14:textId="77777777" w:rsidR="00CD7533" w:rsidRPr="00CD7533" w:rsidRDefault="00CD7533" w:rsidP="00CD7533">
            <w:pPr>
              <w:jc w:val="both"/>
              <w:rPr>
                <w:rFonts w:asciiTheme="minorHAnsi" w:hAnsiTheme="minorHAnsi" w:cstheme="minorHAnsi"/>
                <w:sz w:val="22"/>
              </w:rPr>
            </w:pPr>
          </w:p>
        </w:tc>
      </w:tr>
      <w:tr w:rsidR="00CD7533" w:rsidRPr="007A377E" w14:paraId="59634425" w14:textId="77777777" w:rsidTr="0025113D">
        <w:tc>
          <w:tcPr>
            <w:tcW w:w="4508" w:type="dxa"/>
          </w:tcPr>
          <w:p w14:paraId="4FCD5B95" w14:textId="5CD3BA9A" w:rsidR="00CD7533" w:rsidRPr="007A377E" w:rsidRDefault="00CD7533" w:rsidP="003B1E56">
            <w:pPr>
              <w:jc w:val="center"/>
              <w:rPr>
                <w:rFonts w:asciiTheme="minorHAnsi" w:hAnsiTheme="minorHAnsi" w:cstheme="minorHAnsi"/>
                <w:b/>
                <w:bCs/>
                <w:sz w:val="22"/>
              </w:rPr>
            </w:pPr>
            <w:bookmarkStart w:id="5" w:name="_Toc94800252"/>
            <w:r w:rsidRPr="007A377E">
              <w:rPr>
                <w:rFonts w:asciiTheme="minorHAnsi" w:eastAsia="Times New Roman" w:hAnsiTheme="minorHAnsi" w:cstheme="minorHAnsi"/>
                <w:b/>
                <w:bCs/>
                <w:sz w:val="22"/>
                <w:lang w:eastAsia="fr-FR"/>
              </w:rPr>
              <w:t>JUSTIFICATION</w:t>
            </w:r>
            <w:bookmarkEnd w:id="5"/>
          </w:p>
        </w:tc>
        <w:tc>
          <w:tcPr>
            <w:tcW w:w="4508" w:type="dxa"/>
          </w:tcPr>
          <w:p w14:paraId="143F3F12" w14:textId="41AA9AC2" w:rsidR="00CD7533" w:rsidRPr="007A377E" w:rsidRDefault="00CD7533" w:rsidP="003B1E56">
            <w:pPr>
              <w:jc w:val="center"/>
              <w:rPr>
                <w:rFonts w:asciiTheme="minorHAnsi" w:hAnsiTheme="minorHAnsi" w:cstheme="minorHAnsi"/>
                <w:b/>
                <w:bCs/>
                <w:sz w:val="22"/>
              </w:rPr>
            </w:pPr>
            <w:bookmarkStart w:id="6" w:name="_Toc94800253"/>
            <w:r w:rsidRPr="007A377E">
              <w:rPr>
                <w:rFonts w:asciiTheme="minorHAnsi" w:hAnsiTheme="minorHAnsi" w:cstheme="minorHAnsi"/>
                <w:b/>
                <w:bCs/>
                <w:sz w:val="22"/>
                <w:lang w:eastAsia="fr-FR"/>
              </w:rPr>
              <w:t>VERANTWOORDING</w:t>
            </w:r>
            <w:bookmarkEnd w:id="6"/>
          </w:p>
        </w:tc>
      </w:tr>
      <w:tr w:rsidR="00CD7533" w:rsidRPr="007A377E" w14:paraId="4A362920" w14:textId="77777777" w:rsidTr="0025113D">
        <w:tc>
          <w:tcPr>
            <w:tcW w:w="4508" w:type="dxa"/>
          </w:tcPr>
          <w:p w14:paraId="3810484C" w14:textId="77777777" w:rsidR="00CD7533" w:rsidRPr="007A377E" w:rsidRDefault="00CD7533" w:rsidP="003B1E56">
            <w:pPr>
              <w:rPr>
                <w:rFonts w:asciiTheme="minorHAnsi" w:hAnsiTheme="minorHAnsi" w:cstheme="minorHAnsi"/>
                <w:sz w:val="22"/>
              </w:rPr>
            </w:pPr>
          </w:p>
        </w:tc>
        <w:tc>
          <w:tcPr>
            <w:tcW w:w="4508" w:type="dxa"/>
          </w:tcPr>
          <w:p w14:paraId="63B24CB8" w14:textId="77777777" w:rsidR="00CD7533" w:rsidRPr="007A377E" w:rsidRDefault="00CD7533" w:rsidP="003B1E56">
            <w:pPr>
              <w:rPr>
                <w:rFonts w:asciiTheme="minorHAnsi" w:hAnsiTheme="minorHAnsi" w:cstheme="minorHAnsi"/>
                <w:sz w:val="22"/>
              </w:rPr>
            </w:pPr>
          </w:p>
        </w:tc>
      </w:tr>
      <w:tr w:rsidR="003B1E56" w:rsidRPr="007A377E" w14:paraId="56C2D6A1" w14:textId="77777777" w:rsidTr="0025113D">
        <w:tc>
          <w:tcPr>
            <w:tcW w:w="4508" w:type="dxa"/>
          </w:tcPr>
          <w:p w14:paraId="02C6FE13" w14:textId="1DD6209C" w:rsidR="003B1E56" w:rsidRPr="003B1E56" w:rsidRDefault="003B1E56" w:rsidP="003B1E56">
            <w:pPr>
              <w:jc w:val="both"/>
              <w:rPr>
                <w:rFonts w:ascii="Calibri" w:hAnsi="Calibri" w:cs="Calibri"/>
                <w:sz w:val="22"/>
                <w:lang w:val="fr-BE"/>
              </w:rPr>
            </w:pPr>
            <w:r w:rsidRPr="003B1E56">
              <w:rPr>
                <w:rFonts w:ascii="Calibri" w:hAnsi="Calibri" w:cs="Calibri"/>
                <w:sz w:val="22"/>
                <w:lang w:val="fr-FR"/>
              </w:rPr>
              <w:t>Une définition de « données relatives à l’abonné ou à l’utilisateur habituel du service » a été insérée à l’article 2, 5°, de la loi du 17 janvier 2003 relative au statut du régulateur des secteurs des postes et télécommunications belges (« loi statut IBPT »).</w:t>
            </w:r>
          </w:p>
        </w:tc>
        <w:tc>
          <w:tcPr>
            <w:tcW w:w="4508" w:type="dxa"/>
          </w:tcPr>
          <w:p w14:paraId="270DC81D" w14:textId="3599FF54" w:rsidR="003B1E56" w:rsidRPr="003B1E56" w:rsidRDefault="003B1E56" w:rsidP="003B1E56">
            <w:pPr>
              <w:jc w:val="both"/>
              <w:rPr>
                <w:rFonts w:ascii="Calibri" w:hAnsi="Calibri" w:cs="Calibri"/>
                <w:sz w:val="22"/>
              </w:rPr>
            </w:pPr>
            <w:r w:rsidRPr="003B1E56">
              <w:rPr>
                <w:rFonts w:ascii="Calibri" w:hAnsi="Calibri" w:cs="Calibri"/>
                <w:sz w:val="22"/>
              </w:rPr>
              <w:t>In artikel 2, 5°, van de wet van 17 januari 2003 met betrekking tot het statuut van de regulator van de Belgische post- en telecommunicatiesector (“BIPT-statuutwet”) is een definitie van “gegevens betreffende de abonnee of de gewoonlijke gebruiker van de dienst” ingevoegd.</w:t>
            </w:r>
          </w:p>
        </w:tc>
      </w:tr>
      <w:tr w:rsidR="003B1E56" w:rsidRPr="007A377E" w14:paraId="38B997E5" w14:textId="77777777" w:rsidTr="0025113D">
        <w:tc>
          <w:tcPr>
            <w:tcW w:w="4508" w:type="dxa"/>
          </w:tcPr>
          <w:p w14:paraId="3D5DCE38" w14:textId="40E26518" w:rsidR="003B1E56" w:rsidRPr="003B1E56" w:rsidRDefault="003B1E56" w:rsidP="003B1E56">
            <w:pPr>
              <w:jc w:val="both"/>
              <w:rPr>
                <w:rFonts w:asciiTheme="minorHAnsi" w:hAnsiTheme="minorHAnsi" w:cstheme="minorHAnsi"/>
                <w:sz w:val="22"/>
                <w:highlight w:val="yellow"/>
              </w:rPr>
            </w:pPr>
          </w:p>
        </w:tc>
        <w:tc>
          <w:tcPr>
            <w:tcW w:w="4508" w:type="dxa"/>
          </w:tcPr>
          <w:p w14:paraId="52BD06C5" w14:textId="005F54E0" w:rsidR="003B1E56" w:rsidRPr="003B1E56" w:rsidRDefault="003B1E56" w:rsidP="003B1E56">
            <w:pPr>
              <w:jc w:val="both"/>
              <w:rPr>
                <w:rFonts w:asciiTheme="minorHAnsi" w:hAnsiTheme="minorHAnsi" w:cstheme="minorHAnsi"/>
                <w:sz w:val="22"/>
                <w:highlight w:val="yellow"/>
              </w:rPr>
            </w:pPr>
          </w:p>
        </w:tc>
      </w:tr>
      <w:tr w:rsidR="003B1E56" w:rsidRPr="007A377E" w14:paraId="6AC6E8EB" w14:textId="77777777" w:rsidTr="0025113D">
        <w:tc>
          <w:tcPr>
            <w:tcW w:w="4508" w:type="dxa"/>
          </w:tcPr>
          <w:p w14:paraId="2CD8E032" w14:textId="0461E198" w:rsidR="003B1E56" w:rsidRPr="003B1E56" w:rsidRDefault="003B1E56" w:rsidP="003B1E56">
            <w:pPr>
              <w:jc w:val="both"/>
              <w:rPr>
                <w:rFonts w:asciiTheme="minorHAnsi" w:hAnsiTheme="minorHAnsi" w:cstheme="minorHAnsi"/>
                <w:sz w:val="22"/>
                <w:lang w:val="fr-BE"/>
              </w:rPr>
            </w:pPr>
            <w:r w:rsidRPr="003B1E56">
              <w:rPr>
                <w:rFonts w:asciiTheme="minorHAnsi" w:hAnsiTheme="minorHAnsi" w:cstheme="minorHAnsi"/>
                <w:sz w:val="22"/>
                <w:lang w:val="fr-BE"/>
              </w:rPr>
              <w:t xml:space="preserve">Les seules données de l’article 122 de la loi du 13 juin 2005 relative aux communications </w:t>
            </w:r>
            <w:r w:rsidRPr="003B1E56">
              <w:rPr>
                <w:rFonts w:asciiTheme="minorHAnsi" w:hAnsiTheme="minorHAnsi" w:cstheme="minorHAnsi"/>
                <w:sz w:val="22"/>
                <w:lang w:val="fr-BE"/>
              </w:rPr>
              <w:lastRenderedPageBreak/>
              <w:t xml:space="preserve">électroniques (ci-après « la loi télécom ») qui sont visées dans cette définition sont les données conservées par un opérateur en vertu de cet article qui permettent d’établir l’identité civile de l’abonné qui est une personne physique ou de l’utilisateur habituel du service, ou l’identité de l’abonné qui est une personne morale. </w:t>
            </w:r>
          </w:p>
        </w:tc>
        <w:tc>
          <w:tcPr>
            <w:tcW w:w="4508" w:type="dxa"/>
          </w:tcPr>
          <w:p w14:paraId="171DBC21" w14:textId="3A18294F" w:rsidR="003B1E56" w:rsidRPr="003B1E56" w:rsidRDefault="003B1E56" w:rsidP="003B1E56">
            <w:pPr>
              <w:jc w:val="both"/>
              <w:rPr>
                <w:rFonts w:asciiTheme="minorHAnsi" w:hAnsiTheme="minorHAnsi" w:cstheme="minorHAnsi"/>
                <w:sz w:val="22"/>
              </w:rPr>
            </w:pPr>
            <w:r w:rsidRPr="003B1E56">
              <w:rPr>
                <w:rFonts w:asciiTheme="minorHAnsi" w:hAnsiTheme="minorHAnsi" w:cstheme="minorHAnsi"/>
                <w:sz w:val="22"/>
              </w:rPr>
              <w:lastRenderedPageBreak/>
              <w:t xml:space="preserve">De enige gegevens van artikel 122 van de wet van 13 juni 2005 betreffende de elektronische </w:t>
            </w:r>
            <w:r w:rsidRPr="003B1E56">
              <w:rPr>
                <w:rFonts w:asciiTheme="minorHAnsi" w:hAnsiTheme="minorHAnsi" w:cstheme="minorHAnsi"/>
                <w:sz w:val="22"/>
              </w:rPr>
              <w:lastRenderedPageBreak/>
              <w:t>communicatie (hierna “de telecomwet”) die in deze definitie worden beoogd zijn de gegevens die door een operator worden bewaard krachtens dat artikel en die het mogelijk maken om de burgerlijke identiteit van de abonnee die een natuurlijke persoon is of van de gewoonlijke gebruiker van de dienst, of de identiteit van de abonnee die een rechtspersoon is, vast te stellen.</w:t>
            </w:r>
          </w:p>
        </w:tc>
      </w:tr>
      <w:tr w:rsidR="003B1E56" w:rsidRPr="007A377E" w14:paraId="265AFBC6" w14:textId="77777777" w:rsidTr="0025113D">
        <w:tc>
          <w:tcPr>
            <w:tcW w:w="4508" w:type="dxa"/>
          </w:tcPr>
          <w:p w14:paraId="2EF80EC2" w14:textId="77777777" w:rsidR="003B1E56" w:rsidRPr="003A24C7" w:rsidRDefault="003B1E56" w:rsidP="003B1E56">
            <w:pPr>
              <w:jc w:val="both"/>
              <w:rPr>
                <w:rFonts w:asciiTheme="minorHAnsi" w:hAnsiTheme="minorHAnsi" w:cstheme="minorHAnsi"/>
                <w:sz w:val="22"/>
              </w:rPr>
            </w:pPr>
          </w:p>
        </w:tc>
        <w:tc>
          <w:tcPr>
            <w:tcW w:w="4508" w:type="dxa"/>
          </w:tcPr>
          <w:p w14:paraId="7D5AFAF8" w14:textId="77777777" w:rsidR="003B1E56" w:rsidRPr="003B1E56" w:rsidRDefault="003B1E56" w:rsidP="003B1E56">
            <w:pPr>
              <w:jc w:val="both"/>
              <w:rPr>
                <w:rFonts w:asciiTheme="minorHAnsi" w:hAnsiTheme="minorHAnsi" w:cstheme="minorHAnsi"/>
                <w:sz w:val="22"/>
              </w:rPr>
            </w:pPr>
          </w:p>
        </w:tc>
      </w:tr>
      <w:tr w:rsidR="003B1E56" w:rsidRPr="007A377E" w14:paraId="79CE33E1" w14:textId="77777777" w:rsidTr="0025113D">
        <w:tc>
          <w:tcPr>
            <w:tcW w:w="4508" w:type="dxa"/>
          </w:tcPr>
          <w:p w14:paraId="6BE282A5" w14:textId="4BF5922B" w:rsidR="003B1E56" w:rsidRPr="003B1E56" w:rsidRDefault="003B1E56" w:rsidP="003B1E56">
            <w:pPr>
              <w:jc w:val="both"/>
              <w:rPr>
                <w:rFonts w:asciiTheme="minorHAnsi" w:hAnsiTheme="minorHAnsi" w:cstheme="minorHAnsi"/>
                <w:sz w:val="22"/>
                <w:lang w:val="fr-BE"/>
              </w:rPr>
            </w:pPr>
            <w:r w:rsidRPr="003B1E56">
              <w:rPr>
                <w:rFonts w:asciiTheme="minorHAnsi" w:hAnsiTheme="minorHAnsi" w:cstheme="minorHAnsi"/>
                <w:color w:val="000000" w:themeColor="text1"/>
                <w:sz w:val="22"/>
                <w:lang w:val="fr-FR"/>
              </w:rPr>
              <w:t xml:space="preserve">Cette définition vise à circonscrire les données qui peuvent être considérées, notamment sur la base de la jurisprudence de la Cour de justice de l’Union européenne (CJUE, arrêt du 2 octobre 2018, </w:t>
            </w:r>
            <w:proofErr w:type="spellStart"/>
            <w:r w:rsidRPr="003B1E56">
              <w:rPr>
                <w:rFonts w:asciiTheme="minorHAnsi" w:hAnsiTheme="minorHAnsi" w:cstheme="minorHAnsi"/>
                <w:color w:val="000000" w:themeColor="text1"/>
                <w:sz w:val="22"/>
                <w:lang w:val="fr-FR"/>
              </w:rPr>
              <w:t>Ministerio</w:t>
            </w:r>
            <w:proofErr w:type="spellEnd"/>
            <w:r w:rsidRPr="003B1E56">
              <w:rPr>
                <w:rFonts w:asciiTheme="minorHAnsi" w:hAnsiTheme="minorHAnsi" w:cstheme="minorHAnsi"/>
                <w:color w:val="000000" w:themeColor="text1"/>
                <w:sz w:val="22"/>
                <w:lang w:val="fr-FR"/>
              </w:rPr>
              <w:t xml:space="preserve"> Fiscal, C-207/16), comme présentant un degré de sensibilité moindre que les autres métadonnées liées aux communications électroniques, dès lors qu’elles ne permettent pas de tirer des conclusions précises relatives à la vie privée de  l’abonné ou de l’utilisateur habituel du service. </w:t>
            </w:r>
          </w:p>
        </w:tc>
        <w:tc>
          <w:tcPr>
            <w:tcW w:w="4508" w:type="dxa"/>
          </w:tcPr>
          <w:p w14:paraId="6BBAD6C5" w14:textId="26F546A0" w:rsidR="003B1E56" w:rsidRPr="003B1E56" w:rsidRDefault="003B1E56" w:rsidP="003B1E56">
            <w:pPr>
              <w:jc w:val="both"/>
              <w:rPr>
                <w:rFonts w:asciiTheme="minorHAnsi" w:hAnsiTheme="minorHAnsi" w:cstheme="minorHAnsi"/>
                <w:sz w:val="22"/>
              </w:rPr>
            </w:pPr>
            <w:r w:rsidRPr="003B1E56">
              <w:rPr>
                <w:rFonts w:asciiTheme="minorHAnsi" w:hAnsiTheme="minorHAnsi" w:cstheme="minorHAnsi"/>
                <w:color w:val="000000" w:themeColor="text1"/>
                <w:sz w:val="22"/>
              </w:rPr>
              <w:t>Deze definitie heeft, met name op grond van de rechtspraak van het Hof van Justitie van de Europese Unie (</w:t>
            </w:r>
            <w:proofErr w:type="spellStart"/>
            <w:r w:rsidRPr="003B1E56">
              <w:rPr>
                <w:rFonts w:asciiTheme="minorHAnsi" w:hAnsiTheme="minorHAnsi" w:cstheme="minorHAnsi"/>
                <w:color w:val="000000" w:themeColor="text1"/>
                <w:sz w:val="22"/>
              </w:rPr>
              <w:t>HvJ</w:t>
            </w:r>
            <w:proofErr w:type="spellEnd"/>
            <w:r w:rsidRPr="003B1E56">
              <w:rPr>
                <w:rFonts w:asciiTheme="minorHAnsi" w:hAnsiTheme="minorHAnsi" w:cstheme="minorHAnsi"/>
                <w:color w:val="000000" w:themeColor="text1"/>
                <w:sz w:val="22"/>
              </w:rPr>
              <w:t xml:space="preserve">-EU, arrest van 2 oktober 2018, </w:t>
            </w:r>
            <w:proofErr w:type="spellStart"/>
            <w:r w:rsidRPr="003B1E56">
              <w:rPr>
                <w:rFonts w:asciiTheme="minorHAnsi" w:hAnsiTheme="minorHAnsi" w:cstheme="minorHAnsi"/>
                <w:color w:val="000000" w:themeColor="text1"/>
                <w:sz w:val="22"/>
              </w:rPr>
              <w:t>Ministerio</w:t>
            </w:r>
            <w:proofErr w:type="spellEnd"/>
            <w:r w:rsidRPr="003B1E56">
              <w:rPr>
                <w:rFonts w:asciiTheme="minorHAnsi" w:hAnsiTheme="minorHAnsi" w:cstheme="minorHAnsi"/>
                <w:color w:val="000000" w:themeColor="text1"/>
                <w:sz w:val="22"/>
              </w:rPr>
              <w:t xml:space="preserve"> </w:t>
            </w:r>
            <w:proofErr w:type="spellStart"/>
            <w:r w:rsidRPr="003B1E56">
              <w:rPr>
                <w:rFonts w:asciiTheme="minorHAnsi" w:hAnsiTheme="minorHAnsi" w:cstheme="minorHAnsi"/>
                <w:color w:val="000000" w:themeColor="text1"/>
                <w:sz w:val="22"/>
              </w:rPr>
              <w:t>Fiscal</w:t>
            </w:r>
            <w:proofErr w:type="spellEnd"/>
            <w:r w:rsidRPr="003B1E56">
              <w:rPr>
                <w:rFonts w:asciiTheme="minorHAnsi" w:hAnsiTheme="minorHAnsi" w:cstheme="minorHAnsi"/>
                <w:color w:val="000000" w:themeColor="text1"/>
                <w:sz w:val="22"/>
              </w:rPr>
              <w:t>, C</w:t>
            </w:r>
            <w:r w:rsidRPr="003B1E56">
              <w:rPr>
                <w:rFonts w:ascii="Cambria Math" w:hAnsi="Cambria Math" w:cs="Cambria Math"/>
                <w:color w:val="000000" w:themeColor="text1"/>
                <w:sz w:val="22"/>
              </w:rPr>
              <w:t>‑</w:t>
            </w:r>
            <w:r w:rsidRPr="003B1E56">
              <w:rPr>
                <w:rFonts w:asciiTheme="minorHAnsi" w:hAnsiTheme="minorHAnsi" w:cstheme="minorHAnsi"/>
                <w:color w:val="000000" w:themeColor="text1"/>
                <w:sz w:val="22"/>
              </w:rPr>
              <w:t>207/16), tot doel de gegevens af te bakenen die beschouwd mogen worden als gegevens die een mindere mate van gevoeligheid vertonen dan de overige metagegevens die gelinkt zijn aan de elektronische communicatie, aangezien daaruit geen precieze conclusies kunnen worden getrokken over de persoonlijke levenssfeer van de eindgebruiker of abonnee.</w:t>
            </w:r>
          </w:p>
        </w:tc>
      </w:tr>
      <w:tr w:rsidR="003B1E56" w:rsidRPr="007A377E" w14:paraId="269C554D" w14:textId="77777777" w:rsidTr="0025113D">
        <w:tc>
          <w:tcPr>
            <w:tcW w:w="4508" w:type="dxa"/>
          </w:tcPr>
          <w:p w14:paraId="76A949BA" w14:textId="77777777" w:rsidR="003B1E56" w:rsidRPr="003B1E56" w:rsidRDefault="003B1E56" w:rsidP="003B1E56">
            <w:pPr>
              <w:jc w:val="both"/>
              <w:rPr>
                <w:rFonts w:asciiTheme="minorHAnsi" w:hAnsiTheme="minorHAnsi" w:cstheme="minorHAnsi"/>
                <w:sz w:val="22"/>
              </w:rPr>
            </w:pPr>
          </w:p>
        </w:tc>
        <w:tc>
          <w:tcPr>
            <w:tcW w:w="4508" w:type="dxa"/>
          </w:tcPr>
          <w:p w14:paraId="577E62AC" w14:textId="77777777" w:rsidR="003B1E56" w:rsidRPr="003B1E56" w:rsidRDefault="003B1E56" w:rsidP="003B1E56">
            <w:pPr>
              <w:jc w:val="both"/>
              <w:rPr>
                <w:rFonts w:asciiTheme="minorHAnsi" w:hAnsiTheme="minorHAnsi" w:cstheme="minorHAnsi"/>
                <w:sz w:val="22"/>
              </w:rPr>
            </w:pPr>
          </w:p>
        </w:tc>
      </w:tr>
      <w:tr w:rsidR="003B1E56" w:rsidRPr="007A377E" w14:paraId="5E0AFE29" w14:textId="77777777" w:rsidTr="0025113D">
        <w:tc>
          <w:tcPr>
            <w:tcW w:w="4508" w:type="dxa"/>
          </w:tcPr>
          <w:p w14:paraId="3E850038" w14:textId="4C26E23D" w:rsidR="003B1E56" w:rsidRPr="003B1E56" w:rsidRDefault="003B1E56" w:rsidP="003B1E56">
            <w:pPr>
              <w:jc w:val="both"/>
              <w:rPr>
                <w:rFonts w:asciiTheme="minorHAnsi" w:hAnsiTheme="minorHAnsi" w:cstheme="minorHAnsi"/>
                <w:sz w:val="22"/>
                <w:lang w:val="fr-BE"/>
              </w:rPr>
            </w:pPr>
            <w:r w:rsidRPr="003B1E56">
              <w:rPr>
                <w:rFonts w:asciiTheme="minorHAnsi" w:hAnsiTheme="minorHAnsi" w:cstheme="minorHAnsi"/>
                <w:color w:val="000000" w:themeColor="text1"/>
                <w:sz w:val="22"/>
                <w:lang w:val="fr-FR"/>
              </w:rPr>
              <w:t xml:space="preserve">Ces données se distinguent des autres métadonnées de communications électroniques, telles que définies à l’article 2 de la loi du 13 juin 2005 relative aux communications électroniques, pour lesquelles un contrôle préalable externe se justifie au regard de la jurisprudence de la Cour de justice de l’Union européenne (en particulier, CJUE, arrêt du 2 mars 2021, </w:t>
            </w:r>
            <w:proofErr w:type="spellStart"/>
            <w:r w:rsidRPr="003B1E56">
              <w:rPr>
                <w:rFonts w:asciiTheme="minorHAnsi" w:hAnsiTheme="minorHAnsi" w:cstheme="minorHAnsi"/>
                <w:color w:val="000000" w:themeColor="text1"/>
                <w:sz w:val="22"/>
                <w:lang w:val="fr-FR"/>
              </w:rPr>
              <w:t>Prokuratuur</w:t>
            </w:r>
            <w:proofErr w:type="spellEnd"/>
            <w:r w:rsidRPr="003B1E56">
              <w:rPr>
                <w:rFonts w:asciiTheme="minorHAnsi" w:hAnsiTheme="minorHAnsi" w:cstheme="minorHAnsi"/>
                <w:color w:val="000000" w:themeColor="text1"/>
                <w:sz w:val="22"/>
                <w:lang w:val="fr-FR"/>
              </w:rPr>
              <w:t>,</w:t>
            </w:r>
            <w:r w:rsidRPr="003B1E56">
              <w:rPr>
                <w:rFonts w:asciiTheme="minorHAnsi" w:hAnsiTheme="minorHAnsi" w:cstheme="minorHAnsi"/>
                <w:sz w:val="22"/>
                <w:lang w:val="fr-BE"/>
              </w:rPr>
              <w:t xml:space="preserve"> </w:t>
            </w:r>
            <w:r w:rsidRPr="003B1E56">
              <w:rPr>
                <w:rFonts w:asciiTheme="minorHAnsi" w:hAnsiTheme="minorHAnsi" w:cstheme="minorHAnsi"/>
                <w:color w:val="000000" w:themeColor="text1"/>
                <w:sz w:val="22"/>
                <w:lang w:val="fr-FR"/>
              </w:rPr>
              <w:t>C-746/18) et de la jurisprudence de la Cour constitutionnelle belge (en particulier, arrêt du 18 novembre 2021, n° 158/2021).</w:t>
            </w:r>
          </w:p>
        </w:tc>
        <w:tc>
          <w:tcPr>
            <w:tcW w:w="4508" w:type="dxa"/>
          </w:tcPr>
          <w:p w14:paraId="0F662E4D" w14:textId="0AC21B60" w:rsidR="003B1E56" w:rsidRPr="003B1E56" w:rsidRDefault="003B1E56" w:rsidP="003B1E56">
            <w:pPr>
              <w:jc w:val="both"/>
              <w:rPr>
                <w:rFonts w:asciiTheme="minorHAnsi" w:hAnsiTheme="minorHAnsi" w:cstheme="minorHAnsi"/>
                <w:sz w:val="22"/>
              </w:rPr>
            </w:pPr>
            <w:r w:rsidRPr="003B1E56">
              <w:rPr>
                <w:rFonts w:asciiTheme="minorHAnsi" w:hAnsiTheme="minorHAnsi" w:cstheme="minorHAnsi"/>
                <w:sz w:val="22"/>
              </w:rPr>
              <w:t>Die gegevens onderscheiden zich van de overige elektronische-</w:t>
            </w:r>
            <w:proofErr w:type="spellStart"/>
            <w:r w:rsidRPr="003B1E56">
              <w:rPr>
                <w:rFonts w:asciiTheme="minorHAnsi" w:hAnsiTheme="minorHAnsi" w:cstheme="minorHAnsi"/>
                <w:sz w:val="22"/>
              </w:rPr>
              <w:t>communicatiemetagegevens</w:t>
            </w:r>
            <w:proofErr w:type="spellEnd"/>
            <w:r w:rsidRPr="003B1E56">
              <w:rPr>
                <w:rFonts w:asciiTheme="minorHAnsi" w:hAnsiTheme="minorHAnsi" w:cstheme="minorHAnsi"/>
                <w:sz w:val="22"/>
              </w:rPr>
              <w:t xml:space="preserve">, zoals die gedefinieerd zijn in artikel 2 van de wet van 13 juni 2005 betreffende de elektronische communicatie, waarvoor een voorafgaande externe controle gerechtvaardigd is ten aanzien van de rechtspraak van het Hof van Justitie van de Europese Unie (inzonderheid, </w:t>
            </w:r>
            <w:proofErr w:type="spellStart"/>
            <w:r w:rsidRPr="003B1E56">
              <w:rPr>
                <w:rFonts w:asciiTheme="minorHAnsi" w:hAnsiTheme="minorHAnsi" w:cstheme="minorHAnsi"/>
                <w:sz w:val="22"/>
              </w:rPr>
              <w:t>HvJ</w:t>
            </w:r>
            <w:proofErr w:type="spellEnd"/>
            <w:r w:rsidRPr="003B1E56">
              <w:rPr>
                <w:rFonts w:asciiTheme="minorHAnsi" w:hAnsiTheme="minorHAnsi" w:cstheme="minorHAnsi"/>
                <w:sz w:val="22"/>
              </w:rPr>
              <w:t>-EU, arrest van 2 maart 2021,</w:t>
            </w:r>
            <w:r w:rsidRPr="003B1E56">
              <w:rPr>
                <w:rFonts w:asciiTheme="minorHAnsi" w:hAnsiTheme="minorHAnsi" w:cstheme="minorHAnsi"/>
                <w:color w:val="000000" w:themeColor="text1"/>
                <w:sz w:val="22"/>
              </w:rPr>
              <w:t xml:space="preserve"> </w:t>
            </w:r>
            <w:proofErr w:type="spellStart"/>
            <w:r w:rsidRPr="003B1E56">
              <w:rPr>
                <w:rFonts w:asciiTheme="minorHAnsi" w:hAnsiTheme="minorHAnsi" w:cstheme="minorHAnsi"/>
                <w:color w:val="000000" w:themeColor="text1"/>
                <w:sz w:val="22"/>
              </w:rPr>
              <w:t>Prokuratuur</w:t>
            </w:r>
            <w:proofErr w:type="spellEnd"/>
            <w:r w:rsidRPr="003B1E56">
              <w:rPr>
                <w:rFonts w:asciiTheme="minorHAnsi" w:hAnsiTheme="minorHAnsi" w:cstheme="minorHAnsi"/>
                <w:color w:val="000000" w:themeColor="text1"/>
                <w:sz w:val="22"/>
              </w:rPr>
              <w:t>,</w:t>
            </w:r>
            <w:r w:rsidRPr="003B1E56">
              <w:rPr>
                <w:rFonts w:asciiTheme="minorHAnsi" w:hAnsiTheme="minorHAnsi" w:cstheme="minorHAnsi"/>
                <w:sz w:val="22"/>
              </w:rPr>
              <w:t xml:space="preserve"> </w:t>
            </w:r>
            <w:r w:rsidRPr="003B1E56">
              <w:rPr>
                <w:rFonts w:asciiTheme="minorHAnsi" w:hAnsiTheme="minorHAnsi" w:cstheme="minorHAnsi"/>
                <w:color w:val="000000" w:themeColor="text1"/>
                <w:sz w:val="22"/>
              </w:rPr>
              <w:t>C-746/18) en de rechtspraak van het Belgische Grondwettelijk Hof (inzonderheid, arrest van 18 november 2021, nr. 158/2021).</w:t>
            </w:r>
          </w:p>
        </w:tc>
      </w:tr>
      <w:tr w:rsidR="003B1E56" w:rsidRPr="007A377E" w14:paraId="1DFFA1D8" w14:textId="77777777" w:rsidTr="0025113D">
        <w:tc>
          <w:tcPr>
            <w:tcW w:w="4508" w:type="dxa"/>
          </w:tcPr>
          <w:p w14:paraId="66C561F4" w14:textId="77777777" w:rsidR="003B1E56" w:rsidRPr="007A377E" w:rsidRDefault="003B1E56" w:rsidP="003B1E56">
            <w:pPr>
              <w:rPr>
                <w:rFonts w:asciiTheme="minorHAnsi" w:hAnsiTheme="minorHAnsi" w:cstheme="minorHAnsi"/>
                <w:sz w:val="22"/>
              </w:rPr>
            </w:pPr>
          </w:p>
        </w:tc>
        <w:tc>
          <w:tcPr>
            <w:tcW w:w="4508" w:type="dxa"/>
          </w:tcPr>
          <w:p w14:paraId="3D4BBF88" w14:textId="77777777" w:rsidR="003B1E56" w:rsidRPr="007A377E" w:rsidRDefault="003B1E56" w:rsidP="003B1E56">
            <w:pPr>
              <w:rPr>
                <w:rFonts w:asciiTheme="minorHAnsi" w:hAnsiTheme="minorHAnsi" w:cstheme="minorHAnsi"/>
                <w:sz w:val="22"/>
              </w:rPr>
            </w:pPr>
          </w:p>
        </w:tc>
      </w:tr>
      <w:tr w:rsidR="003B1E56" w:rsidRPr="007A377E" w14:paraId="7054C6D0" w14:textId="77777777" w:rsidTr="0025113D">
        <w:tc>
          <w:tcPr>
            <w:tcW w:w="4508" w:type="dxa"/>
          </w:tcPr>
          <w:p w14:paraId="1AD49B40" w14:textId="3B021504" w:rsidR="003B1E56" w:rsidRPr="007A377E" w:rsidRDefault="003B1E56" w:rsidP="003B1E56">
            <w:pPr>
              <w:pStyle w:val="Kop1"/>
              <w:outlineLvl w:val="0"/>
              <w:rPr>
                <w:rFonts w:asciiTheme="minorHAnsi" w:hAnsiTheme="minorHAnsi" w:cstheme="minorHAnsi"/>
                <w:szCs w:val="22"/>
                <w:lang w:val="fr-BE"/>
              </w:rPr>
            </w:pPr>
            <w:bookmarkStart w:id="7" w:name="_Toc96612090"/>
            <w:bookmarkStart w:id="8" w:name="_Toc94800278"/>
            <w:r w:rsidRPr="007A377E">
              <w:rPr>
                <w:rFonts w:asciiTheme="minorHAnsi" w:hAnsiTheme="minorHAnsi" w:cstheme="minorHAnsi"/>
                <w:szCs w:val="22"/>
              </w:rPr>
              <w:t>Amendement</w:t>
            </w:r>
            <w:r w:rsidRPr="007A377E">
              <w:rPr>
                <w:rFonts w:asciiTheme="minorHAnsi" w:hAnsiTheme="minorHAnsi" w:cstheme="minorHAnsi"/>
                <w:szCs w:val="22"/>
                <w:lang w:val="fr-BE" w:eastAsia="fr-FR"/>
              </w:rPr>
              <w:t xml:space="preserve"> n°11</w:t>
            </w:r>
            <w:bookmarkEnd w:id="7"/>
            <w:r w:rsidRPr="007A377E">
              <w:rPr>
                <w:rFonts w:asciiTheme="minorHAnsi" w:hAnsiTheme="minorHAnsi" w:cstheme="minorHAnsi"/>
                <w:szCs w:val="22"/>
                <w:lang w:val="fr-BE" w:eastAsia="fr-FR"/>
              </w:rPr>
              <w:t xml:space="preserve"> </w:t>
            </w:r>
            <w:bookmarkEnd w:id="8"/>
          </w:p>
        </w:tc>
        <w:tc>
          <w:tcPr>
            <w:tcW w:w="4508" w:type="dxa"/>
          </w:tcPr>
          <w:p w14:paraId="6954ABEE" w14:textId="2D9FC829" w:rsidR="003B1E56" w:rsidRPr="007A377E" w:rsidRDefault="003B1E56" w:rsidP="003B1E56">
            <w:pPr>
              <w:pStyle w:val="Kop1"/>
              <w:outlineLvl w:val="0"/>
              <w:rPr>
                <w:rFonts w:asciiTheme="minorHAnsi" w:hAnsiTheme="minorHAnsi" w:cstheme="minorHAnsi"/>
                <w:szCs w:val="22"/>
              </w:rPr>
            </w:pPr>
            <w:bookmarkStart w:id="9" w:name="_Toc96612091"/>
            <w:bookmarkStart w:id="10" w:name="_Toc94800279"/>
            <w:r w:rsidRPr="007A377E">
              <w:rPr>
                <w:rFonts w:asciiTheme="minorHAnsi" w:hAnsiTheme="minorHAnsi" w:cstheme="minorHAnsi"/>
                <w:szCs w:val="22"/>
                <w:lang w:eastAsia="fr-FR"/>
              </w:rPr>
              <w:t>Amendement nr.11</w:t>
            </w:r>
            <w:bookmarkEnd w:id="9"/>
            <w:r w:rsidRPr="007A377E">
              <w:rPr>
                <w:rFonts w:asciiTheme="minorHAnsi" w:hAnsiTheme="minorHAnsi" w:cstheme="minorHAnsi"/>
                <w:szCs w:val="22"/>
                <w:lang w:eastAsia="fr-FR"/>
              </w:rPr>
              <w:t xml:space="preserve"> </w:t>
            </w:r>
            <w:bookmarkEnd w:id="10"/>
          </w:p>
        </w:tc>
      </w:tr>
      <w:tr w:rsidR="003B1E56" w:rsidRPr="007A377E" w14:paraId="772C144A" w14:textId="77777777" w:rsidTr="0025113D">
        <w:tc>
          <w:tcPr>
            <w:tcW w:w="4508" w:type="dxa"/>
          </w:tcPr>
          <w:p w14:paraId="7F5C1557" w14:textId="77777777" w:rsidR="003B1E56" w:rsidRPr="007A377E" w:rsidRDefault="003B1E56" w:rsidP="003B1E56">
            <w:pPr>
              <w:rPr>
                <w:rFonts w:asciiTheme="minorHAnsi" w:hAnsiTheme="minorHAnsi" w:cstheme="minorHAnsi"/>
                <w:sz w:val="22"/>
              </w:rPr>
            </w:pPr>
          </w:p>
        </w:tc>
        <w:tc>
          <w:tcPr>
            <w:tcW w:w="4508" w:type="dxa"/>
          </w:tcPr>
          <w:p w14:paraId="0AABAD82" w14:textId="77777777" w:rsidR="003B1E56" w:rsidRPr="007A377E" w:rsidRDefault="003B1E56" w:rsidP="003B1E56">
            <w:pPr>
              <w:rPr>
                <w:rFonts w:asciiTheme="minorHAnsi" w:hAnsiTheme="minorHAnsi" w:cstheme="minorHAnsi"/>
                <w:sz w:val="22"/>
              </w:rPr>
            </w:pPr>
          </w:p>
        </w:tc>
      </w:tr>
      <w:tr w:rsidR="003B1E56" w:rsidRPr="007A377E" w14:paraId="4C5F4170" w14:textId="77777777" w:rsidTr="0025113D">
        <w:tc>
          <w:tcPr>
            <w:tcW w:w="4508" w:type="dxa"/>
          </w:tcPr>
          <w:p w14:paraId="3EA4336F" w14:textId="5F841BD5" w:rsidR="003B1E56" w:rsidRPr="007A377E" w:rsidRDefault="003B1E56" w:rsidP="003B1E56">
            <w:pPr>
              <w:jc w:val="center"/>
              <w:rPr>
                <w:rFonts w:asciiTheme="minorHAnsi" w:hAnsiTheme="minorHAnsi" w:cstheme="minorHAnsi"/>
                <w:sz w:val="22"/>
              </w:rPr>
            </w:pPr>
            <w:r w:rsidRPr="007A377E">
              <w:rPr>
                <w:rFonts w:asciiTheme="minorHAnsi" w:hAnsiTheme="minorHAnsi" w:cstheme="minorHAnsi"/>
                <w:b/>
                <w:bCs/>
                <w:sz w:val="22"/>
                <w:lang w:eastAsia="fr-FR"/>
              </w:rPr>
              <w:t>Art.  17</w:t>
            </w:r>
          </w:p>
        </w:tc>
        <w:tc>
          <w:tcPr>
            <w:tcW w:w="4508" w:type="dxa"/>
          </w:tcPr>
          <w:p w14:paraId="3C560DE1" w14:textId="6F1E3EB3" w:rsidR="003B1E56" w:rsidRPr="007A377E" w:rsidRDefault="003B1E56" w:rsidP="003B1E56">
            <w:pPr>
              <w:jc w:val="center"/>
              <w:rPr>
                <w:rFonts w:asciiTheme="minorHAnsi" w:hAnsiTheme="minorHAnsi" w:cstheme="minorHAnsi"/>
                <w:sz w:val="22"/>
              </w:rPr>
            </w:pPr>
            <w:r w:rsidRPr="007A377E">
              <w:rPr>
                <w:rFonts w:asciiTheme="minorHAnsi" w:hAnsiTheme="minorHAnsi" w:cstheme="minorHAnsi"/>
                <w:b/>
                <w:bCs/>
                <w:sz w:val="22"/>
                <w:lang w:eastAsia="fr-FR"/>
              </w:rPr>
              <w:t>Art. 17</w:t>
            </w:r>
          </w:p>
        </w:tc>
      </w:tr>
      <w:tr w:rsidR="003B1E56" w:rsidRPr="007A377E" w14:paraId="1BEB17D5" w14:textId="77777777" w:rsidTr="0025113D">
        <w:tc>
          <w:tcPr>
            <w:tcW w:w="4508" w:type="dxa"/>
          </w:tcPr>
          <w:p w14:paraId="7D5E3136" w14:textId="77777777" w:rsidR="003B1E56" w:rsidRPr="007A377E" w:rsidRDefault="003B1E56" w:rsidP="003B1E56">
            <w:pPr>
              <w:rPr>
                <w:rFonts w:asciiTheme="minorHAnsi" w:hAnsiTheme="minorHAnsi" w:cstheme="minorHAnsi"/>
                <w:sz w:val="22"/>
              </w:rPr>
            </w:pPr>
          </w:p>
        </w:tc>
        <w:tc>
          <w:tcPr>
            <w:tcW w:w="4508" w:type="dxa"/>
          </w:tcPr>
          <w:p w14:paraId="2192E86B" w14:textId="77777777" w:rsidR="003B1E56" w:rsidRPr="007A377E" w:rsidRDefault="003B1E56" w:rsidP="003B1E56">
            <w:pPr>
              <w:rPr>
                <w:rFonts w:asciiTheme="minorHAnsi" w:hAnsiTheme="minorHAnsi" w:cstheme="minorHAnsi"/>
                <w:sz w:val="22"/>
              </w:rPr>
            </w:pPr>
          </w:p>
        </w:tc>
      </w:tr>
      <w:tr w:rsidR="003B1E56" w:rsidRPr="007A377E" w14:paraId="18064E0F" w14:textId="77777777" w:rsidTr="0025113D">
        <w:tc>
          <w:tcPr>
            <w:tcW w:w="4508" w:type="dxa"/>
          </w:tcPr>
          <w:p w14:paraId="24FDFA62" w14:textId="5B448389" w:rsidR="003B1E56" w:rsidRPr="007A377E" w:rsidRDefault="003B1E56" w:rsidP="003B1E56">
            <w:pPr>
              <w:jc w:val="both"/>
              <w:rPr>
                <w:rFonts w:asciiTheme="minorHAnsi" w:hAnsiTheme="minorHAnsi" w:cstheme="minorHAnsi"/>
                <w:sz w:val="22"/>
                <w:lang w:val="fr-BE"/>
              </w:rPr>
            </w:pPr>
            <w:r w:rsidRPr="007A377E">
              <w:rPr>
                <w:rFonts w:asciiTheme="minorHAnsi" w:eastAsia="Times New Roman" w:hAnsiTheme="minorHAnsi" w:cstheme="minorHAnsi"/>
                <w:bCs/>
                <w:sz w:val="22"/>
                <w:lang w:val="fr-FR" w:eastAsia="fr-FR"/>
              </w:rPr>
              <w:t xml:space="preserve">Les modifications proposées à l’article 14 de la même loi sont remplacées par ce qui suit :  </w:t>
            </w:r>
          </w:p>
        </w:tc>
        <w:tc>
          <w:tcPr>
            <w:tcW w:w="4508" w:type="dxa"/>
          </w:tcPr>
          <w:p w14:paraId="3E7B3753" w14:textId="39C823D1" w:rsidR="003B1E56" w:rsidRPr="007A377E" w:rsidRDefault="003B1E56" w:rsidP="003B1E56">
            <w:pPr>
              <w:jc w:val="both"/>
              <w:rPr>
                <w:rFonts w:asciiTheme="minorHAnsi" w:hAnsiTheme="minorHAnsi" w:cstheme="minorHAnsi"/>
                <w:sz w:val="22"/>
              </w:rPr>
            </w:pPr>
            <w:r w:rsidRPr="003A1B2B">
              <w:rPr>
                <w:rFonts w:asciiTheme="minorHAnsi" w:eastAsia="Times New Roman" w:hAnsiTheme="minorHAnsi" w:cstheme="minorHAnsi"/>
                <w:bCs/>
                <w:sz w:val="22"/>
                <w:lang w:eastAsia="fr-FR"/>
              </w:rPr>
              <w:t>De voorgestelde wijzigingen in artikel 14 van dezelfde wet worden vervangen als volgt:</w:t>
            </w:r>
          </w:p>
        </w:tc>
      </w:tr>
      <w:tr w:rsidR="003B1E56" w:rsidRPr="007A377E" w14:paraId="7D19A968" w14:textId="77777777" w:rsidTr="0025113D">
        <w:tc>
          <w:tcPr>
            <w:tcW w:w="4508" w:type="dxa"/>
          </w:tcPr>
          <w:p w14:paraId="05388705" w14:textId="713A27A6" w:rsidR="003B1E56" w:rsidRPr="00FD3270" w:rsidRDefault="003B1E56" w:rsidP="003B1E56">
            <w:pPr>
              <w:jc w:val="both"/>
              <w:rPr>
                <w:rFonts w:asciiTheme="minorHAnsi" w:hAnsiTheme="minorHAnsi" w:cstheme="minorHAnsi"/>
                <w:sz w:val="22"/>
              </w:rPr>
            </w:pPr>
          </w:p>
        </w:tc>
        <w:tc>
          <w:tcPr>
            <w:tcW w:w="4508" w:type="dxa"/>
          </w:tcPr>
          <w:p w14:paraId="64A084F5" w14:textId="28E4EBE3" w:rsidR="003B1E56" w:rsidRPr="007A377E" w:rsidRDefault="003B1E56" w:rsidP="003B1E56">
            <w:pPr>
              <w:jc w:val="both"/>
              <w:rPr>
                <w:rFonts w:asciiTheme="minorHAnsi" w:hAnsiTheme="minorHAnsi" w:cstheme="minorHAnsi"/>
                <w:sz w:val="22"/>
              </w:rPr>
            </w:pPr>
          </w:p>
        </w:tc>
      </w:tr>
      <w:tr w:rsidR="003B1E56" w:rsidRPr="00FD3270" w14:paraId="1AF4C42A" w14:textId="77777777" w:rsidTr="0025113D">
        <w:tc>
          <w:tcPr>
            <w:tcW w:w="4508" w:type="dxa"/>
          </w:tcPr>
          <w:p w14:paraId="0C29282D" w14:textId="5181CECD" w:rsidR="003B1E56" w:rsidRPr="007A377E" w:rsidRDefault="003B1E56" w:rsidP="003B1E56">
            <w:pPr>
              <w:jc w:val="both"/>
              <w:rPr>
                <w:rFonts w:asciiTheme="minorHAnsi" w:hAnsiTheme="minorHAnsi" w:cstheme="minorHAnsi"/>
                <w:sz w:val="22"/>
                <w:lang w:val="fr-BE"/>
              </w:rPr>
            </w:pPr>
            <w:r>
              <w:rPr>
                <w:rFonts w:asciiTheme="minorHAnsi" w:hAnsiTheme="minorHAnsi" w:cstheme="minorHAnsi"/>
                <w:sz w:val="22"/>
                <w:lang w:val="fr-BE"/>
              </w:rPr>
              <w:t xml:space="preserve">Le chiffre « 15 » est inséré entre les mots « les articles 14, §2, 2°, » et les mots « et 21, §§5 à 7 ». </w:t>
            </w:r>
          </w:p>
        </w:tc>
        <w:tc>
          <w:tcPr>
            <w:tcW w:w="4508" w:type="dxa"/>
          </w:tcPr>
          <w:p w14:paraId="21F6FA80" w14:textId="6A3F2282" w:rsidR="003B1E56" w:rsidRPr="00FD3270" w:rsidRDefault="003B1E56" w:rsidP="003B1E56">
            <w:pPr>
              <w:jc w:val="both"/>
              <w:rPr>
                <w:rFonts w:asciiTheme="minorHAnsi" w:hAnsiTheme="minorHAnsi" w:cstheme="minorHAnsi"/>
                <w:sz w:val="22"/>
              </w:rPr>
            </w:pPr>
            <w:r w:rsidRPr="00D804AF">
              <w:rPr>
                <w:rFonts w:asciiTheme="minorHAnsi" w:hAnsiTheme="minorHAnsi" w:cstheme="minorHAnsi"/>
                <w:sz w:val="22"/>
              </w:rPr>
              <w:t>He</w:t>
            </w:r>
            <w:r>
              <w:rPr>
                <w:rFonts w:asciiTheme="minorHAnsi" w:hAnsiTheme="minorHAnsi" w:cstheme="minorHAnsi"/>
                <w:sz w:val="22"/>
              </w:rPr>
              <w:t xml:space="preserve">t cijfer </w:t>
            </w:r>
            <w:r w:rsidRPr="003A1B2B">
              <w:rPr>
                <w:rFonts w:asciiTheme="minorHAnsi" w:hAnsiTheme="minorHAnsi" w:cstheme="minorHAnsi"/>
                <w:sz w:val="22"/>
              </w:rPr>
              <w:t>“15” word</w:t>
            </w:r>
            <w:r>
              <w:rPr>
                <w:rFonts w:asciiTheme="minorHAnsi" w:hAnsiTheme="minorHAnsi" w:cstheme="minorHAnsi"/>
                <w:sz w:val="22"/>
              </w:rPr>
              <w:t>t</w:t>
            </w:r>
            <w:r w:rsidRPr="003A1B2B">
              <w:rPr>
                <w:rFonts w:asciiTheme="minorHAnsi" w:hAnsiTheme="minorHAnsi" w:cstheme="minorHAnsi"/>
                <w:sz w:val="22"/>
              </w:rPr>
              <w:t xml:space="preserve"> ingevoegd tussen de woorden “de artikelen 14, § 2, 2°,” en de woorden “en 21, §§ 5 tot 7”.</w:t>
            </w:r>
          </w:p>
        </w:tc>
      </w:tr>
      <w:tr w:rsidR="003B1E56" w:rsidRPr="00FD3270" w14:paraId="1EFC3683" w14:textId="77777777" w:rsidTr="0025113D">
        <w:tc>
          <w:tcPr>
            <w:tcW w:w="4508" w:type="dxa"/>
          </w:tcPr>
          <w:p w14:paraId="5C84E507" w14:textId="77777777" w:rsidR="003B1E56" w:rsidRPr="00FD3270" w:rsidRDefault="003B1E56" w:rsidP="003B1E56">
            <w:pPr>
              <w:rPr>
                <w:rFonts w:asciiTheme="minorHAnsi" w:hAnsiTheme="minorHAnsi" w:cstheme="minorHAnsi"/>
                <w:sz w:val="22"/>
              </w:rPr>
            </w:pPr>
          </w:p>
        </w:tc>
        <w:tc>
          <w:tcPr>
            <w:tcW w:w="4508" w:type="dxa"/>
          </w:tcPr>
          <w:p w14:paraId="71532D42" w14:textId="77777777" w:rsidR="003B1E56" w:rsidRPr="00FD3270" w:rsidRDefault="003B1E56" w:rsidP="003B1E56">
            <w:pPr>
              <w:rPr>
                <w:rFonts w:asciiTheme="minorHAnsi" w:hAnsiTheme="minorHAnsi" w:cstheme="minorHAnsi"/>
                <w:sz w:val="22"/>
              </w:rPr>
            </w:pPr>
          </w:p>
        </w:tc>
      </w:tr>
      <w:tr w:rsidR="003B1E56" w:rsidRPr="007A377E" w14:paraId="4CD54F3C" w14:textId="77777777" w:rsidTr="0025113D">
        <w:tc>
          <w:tcPr>
            <w:tcW w:w="4508" w:type="dxa"/>
          </w:tcPr>
          <w:p w14:paraId="4CC40B0B" w14:textId="25BE5A45" w:rsidR="003B1E56" w:rsidRPr="007A377E" w:rsidRDefault="003B1E56" w:rsidP="003B1E56">
            <w:pPr>
              <w:jc w:val="center"/>
              <w:rPr>
                <w:rFonts w:asciiTheme="minorHAnsi" w:hAnsiTheme="minorHAnsi" w:cstheme="minorHAnsi"/>
                <w:sz w:val="22"/>
              </w:rPr>
            </w:pPr>
            <w:r w:rsidRPr="007A377E">
              <w:rPr>
                <w:rFonts w:asciiTheme="minorHAnsi" w:hAnsiTheme="minorHAnsi" w:cstheme="minorHAnsi"/>
                <w:b/>
                <w:bCs/>
                <w:sz w:val="22"/>
                <w:lang w:eastAsia="fr-FR"/>
              </w:rPr>
              <w:t>JUSTIFICATION</w:t>
            </w:r>
          </w:p>
        </w:tc>
        <w:tc>
          <w:tcPr>
            <w:tcW w:w="4508" w:type="dxa"/>
          </w:tcPr>
          <w:p w14:paraId="17E87B77" w14:textId="1299C6BC" w:rsidR="003B1E56" w:rsidRPr="007A377E" w:rsidRDefault="003B1E56" w:rsidP="003B1E56">
            <w:pPr>
              <w:jc w:val="center"/>
              <w:rPr>
                <w:rFonts w:asciiTheme="minorHAnsi" w:hAnsiTheme="minorHAnsi" w:cstheme="minorHAnsi"/>
                <w:sz w:val="22"/>
              </w:rPr>
            </w:pPr>
            <w:r w:rsidRPr="007A377E">
              <w:rPr>
                <w:rFonts w:asciiTheme="minorHAnsi" w:hAnsiTheme="minorHAnsi" w:cstheme="minorHAnsi"/>
                <w:b/>
                <w:bCs/>
                <w:sz w:val="22"/>
                <w:lang w:val="fr-BE" w:eastAsia="fr-FR"/>
              </w:rPr>
              <w:t>VERANTWOORDING</w:t>
            </w:r>
          </w:p>
        </w:tc>
      </w:tr>
      <w:tr w:rsidR="003B1E56" w:rsidRPr="007A377E" w14:paraId="5BA619CD" w14:textId="77777777" w:rsidTr="0025113D">
        <w:tc>
          <w:tcPr>
            <w:tcW w:w="4508" w:type="dxa"/>
          </w:tcPr>
          <w:p w14:paraId="2E4D83D2" w14:textId="77777777" w:rsidR="003B1E56" w:rsidRPr="007A377E" w:rsidRDefault="003B1E56" w:rsidP="003B1E56">
            <w:pPr>
              <w:rPr>
                <w:rFonts w:asciiTheme="minorHAnsi" w:hAnsiTheme="minorHAnsi" w:cstheme="minorHAnsi"/>
                <w:sz w:val="22"/>
              </w:rPr>
            </w:pPr>
          </w:p>
        </w:tc>
        <w:tc>
          <w:tcPr>
            <w:tcW w:w="4508" w:type="dxa"/>
          </w:tcPr>
          <w:p w14:paraId="6EC6CCA7" w14:textId="77777777" w:rsidR="003B1E56" w:rsidRPr="007A377E" w:rsidRDefault="003B1E56" w:rsidP="003B1E56">
            <w:pPr>
              <w:rPr>
                <w:rFonts w:asciiTheme="minorHAnsi" w:hAnsiTheme="minorHAnsi" w:cstheme="minorHAnsi"/>
                <w:sz w:val="22"/>
              </w:rPr>
            </w:pPr>
          </w:p>
        </w:tc>
      </w:tr>
      <w:tr w:rsidR="002F64C6" w:rsidRPr="007A377E" w14:paraId="6AF20D33" w14:textId="77777777" w:rsidTr="0025113D">
        <w:tc>
          <w:tcPr>
            <w:tcW w:w="4508" w:type="dxa"/>
          </w:tcPr>
          <w:p w14:paraId="0E38C67C" w14:textId="2FB7C667" w:rsidR="002F64C6" w:rsidRPr="002F64C6" w:rsidRDefault="002F64C6" w:rsidP="002F64C6">
            <w:pPr>
              <w:jc w:val="both"/>
              <w:rPr>
                <w:rFonts w:ascii="Calibri" w:hAnsi="Calibri" w:cs="Calibri"/>
                <w:sz w:val="22"/>
                <w:lang w:val="fr-BE"/>
              </w:rPr>
            </w:pPr>
            <w:r w:rsidRPr="002F64C6">
              <w:rPr>
                <w:rFonts w:ascii="Calibri" w:hAnsi="Calibri" w:cs="Calibri"/>
                <w:sz w:val="22"/>
                <w:lang w:val="fr-BE"/>
              </w:rPr>
              <w:t>Il est important de veiller à ce que le respect du nouvel article 15 de la loi statut IBPT puisse être contrôlé par l’Institut et que le non-respect d’une décision de l’IBPT prise sur base de ce nouvel article puisse être sanctionné. C’est la raison pour laquelle le contrôle de cet article a été ajouté à l’article 14, §1</w:t>
            </w:r>
            <w:r w:rsidRPr="002F64C6">
              <w:rPr>
                <w:rFonts w:ascii="Calibri" w:hAnsi="Calibri" w:cs="Calibri"/>
                <w:sz w:val="22"/>
                <w:vertAlign w:val="superscript"/>
                <w:lang w:val="fr-BE"/>
              </w:rPr>
              <w:t>er</w:t>
            </w:r>
            <w:r w:rsidRPr="002F64C6">
              <w:rPr>
                <w:rFonts w:ascii="Calibri" w:hAnsi="Calibri" w:cs="Calibri"/>
                <w:sz w:val="22"/>
                <w:lang w:val="fr-BE"/>
              </w:rPr>
              <w:t>, 3°, d).</w:t>
            </w:r>
          </w:p>
        </w:tc>
        <w:tc>
          <w:tcPr>
            <w:tcW w:w="4508" w:type="dxa"/>
          </w:tcPr>
          <w:p w14:paraId="332343F0" w14:textId="5AF9ECA8" w:rsidR="002F64C6" w:rsidRPr="002F64C6" w:rsidRDefault="002F64C6" w:rsidP="002F64C6">
            <w:pPr>
              <w:jc w:val="both"/>
              <w:rPr>
                <w:rFonts w:ascii="Calibri" w:hAnsi="Calibri" w:cs="Calibri"/>
                <w:sz w:val="22"/>
              </w:rPr>
            </w:pPr>
            <w:r w:rsidRPr="002F64C6">
              <w:rPr>
                <w:rFonts w:ascii="Calibri" w:hAnsi="Calibri" w:cs="Calibri"/>
                <w:sz w:val="22"/>
              </w:rPr>
              <w:t>Het is belangrijk om erop toe te zien dat de naleving van het nieuwe artikel 15 van de BIPT-statuutwet kan worden gecontroleerd door het Instituut en dat de niet-naleving van een besluit van het BIPT genomen op grond van dat nieuwe artikel, bestraft kan worden. Dat is de reden waarom de controle van dat artikel toegevoegd is in artikel 14, § 1, 3°, d).</w:t>
            </w:r>
          </w:p>
        </w:tc>
      </w:tr>
      <w:tr w:rsidR="003B1E56" w:rsidRPr="007A377E" w14:paraId="513A5325" w14:textId="77777777" w:rsidTr="0025113D">
        <w:tc>
          <w:tcPr>
            <w:tcW w:w="4508" w:type="dxa"/>
          </w:tcPr>
          <w:p w14:paraId="62F15483" w14:textId="77777777" w:rsidR="003B1E56" w:rsidRPr="007A377E" w:rsidRDefault="003B1E56" w:rsidP="003B1E56">
            <w:pPr>
              <w:rPr>
                <w:rFonts w:asciiTheme="minorHAnsi" w:hAnsiTheme="minorHAnsi" w:cstheme="minorHAnsi"/>
                <w:sz w:val="22"/>
              </w:rPr>
            </w:pPr>
          </w:p>
        </w:tc>
        <w:tc>
          <w:tcPr>
            <w:tcW w:w="4508" w:type="dxa"/>
          </w:tcPr>
          <w:p w14:paraId="5F441083" w14:textId="77777777" w:rsidR="003B1E56" w:rsidRPr="007A377E" w:rsidRDefault="003B1E56" w:rsidP="003B1E56">
            <w:pPr>
              <w:rPr>
                <w:rFonts w:asciiTheme="minorHAnsi" w:hAnsiTheme="minorHAnsi" w:cstheme="minorHAnsi"/>
                <w:sz w:val="22"/>
              </w:rPr>
            </w:pPr>
          </w:p>
        </w:tc>
      </w:tr>
      <w:tr w:rsidR="003B1E56" w:rsidRPr="007A377E" w14:paraId="1E9CE9A3" w14:textId="77777777" w:rsidTr="0025113D">
        <w:tc>
          <w:tcPr>
            <w:tcW w:w="4508" w:type="dxa"/>
          </w:tcPr>
          <w:p w14:paraId="45949F50" w14:textId="403E4130" w:rsidR="003B1E56" w:rsidRPr="007A377E" w:rsidRDefault="003B1E56" w:rsidP="003B1E56">
            <w:pPr>
              <w:pStyle w:val="Kop1"/>
              <w:outlineLvl w:val="0"/>
              <w:rPr>
                <w:rFonts w:asciiTheme="minorHAnsi" w:hAnsiTheme="minorHAnsi" w:cstheme="minorHAnsi"/>
                <w:szCs w:val="22"/>
                <w:lang w:val="fr-BE"/>
              </w:rPr>
            </w:pPr>
            <w:bookmarkStart w:id="11" w:name="_Toc94800280"/>
            <w:bookmarkStart w:id="12" w:name="_Toc96612092"/>
            <w:r w:rsidRPr="007A377E">
              <w:rPr>
                <w:rFonts w:asciiTheme="minorHAnsi" w:hAnsiTheme="minorHAnsi" w:cstheme="minorHAnsi"/>
                <w:szCs w:val="22"/>
                <w:lang w:val="fr-BE" w:eastAsia="fr-FR"/>
              </w:rPr>
              <w:t xml:space="preserve">Amendement n° </w:t>
            </w:r>
            <w:bookmarkEnd w:id="11"/>
            <w:r w:rsidRPr="007A377E">
              <w:rPr>
                <w:rFonts w:asciiTheme="minorHAnsi" w:hAnsiTheme="minorHAnsi" w:cstheme="minorHAnsi"/>
                <w:szCs w:val="22"/>
                <w:lang w:val="fr-BE" w:eastAsia="fr-FR"/>
              </w:rPr>
              <w:t>12</w:t>
            </w:r>
            <w:bookmarkEnd w:id="12"/>
          </w:p>
        </w:tc>
        <w:tc>
          <w:tcPr>
            <w:tcW w:w="4508" w:type="dxa"/>
          </w:tcPr>
          <w:p w14:paraId="71B096FA" w14:textId="641949A4" w:rsidR="003B1E56" w:rsidRPr="007A377E" w:rsidRDefault="003B1E56" w:rsidP="003B1E56">
            <w:pPr>
              <w:pStyle w:val="Kop1"/>
              <w:outlineLvl w:val="0"/>
              <w:rPr>
                <w:rFonts w:asciiTheme="minorHAnsi" w:hAnsiTheme="minorHAnsi" w:cstheme="minorHAnsi"/>
                <w:szCs w:val="22"/>
              </w:rPr>
            </w:pPr>
            <w:bookmarkStart w:id="13" w:name="_Toc94800281"/>
            <w:bookmarkStart w:id="14" w:name="_Toc96612093"/>
            <w:r w:rsidRPr="007A377E">
              <w:rPr>
                <w:rFonts w:asciiTheme="minorHAnsi" w:hAnsiTheme="minorHAnsi" w:cstheme="minorHAnsi"/>
                <w:szCs w:val="22"/>
                <w:lang w:eastAsia="fr-FR"/>
              </w:rPr>
              <w:t xml:space="preserve">Amendement nr. </w:t>
            </w:r>
            <w:bookmarkEnd w:id="13"/>
            <w:r w:rsidRPr="007A377E">
              <w:rPr>
                <w:rFonts w:asciiTheme="minorHAnsi" w:hAnsiTheme="minorHAnsi" w:cstheme="minorHAnsi"/>
                <w:szCs w:val="22"/>
                <w:lang w:eastAsia="fr-FR"/>
              </w:rPr>
              <w:t>12</w:t>
            </w:r>
            <w:bookmarkEnd w:id="14"/>
          </w:p>
        </w:tc>
      </w:tr>
      <w:tr w:rsidR="003B1E56" w:rsidRPr="007A377E" w14:paraId="2EBDA5DA" w14:textId="77777777" w:rsidTr="0025113D">
        <w:tc>
          <w:tcPr>
            <w:tcW w:w="4508" w:type="dxa"/>
          </w:tcPr>
          <w:p w14:paraId="54B3BF8B" w14:textId="77777777" w:rsidR="003B1E56" w:rsidRPr="007A377E" w:rsidRDefault="003B1E56" w:rsidP="003B1E56">
            <w:pPr>
              <w:jc w:val="center"/>
              <w:rPr>
                <w:rFonts w:asciiTheme="minorHAnsi" w:hAnsiTheme="minorHAnsi" w:cstheme="minorHAnsi"/>
                <w:b/>
                <w:bCs/>
                <w:sz w:val="22"/>
                <w:lang w:eastAsia="fr-FR"/>
              </w:rPr>
            </w:pPr>
          </w:p>
        </w:tc>
        <w:tc>
          <w:tcPr>
            <w:tcW w:w="4508" w:type="dxa"/>
          </w:tcPr>
          <w:p w14:paraId="0EC82199" w14:textId="77777777" w:rsidR="003B1E56" w:rsidRPr="007A377E" w:rsidRDefault="003B1E56" w:rsidP="003B1E56">
            <w:pPr>
              <w:jc w:val="center"/>
              <w:rPr>
                <w:rFonts w:asciiTheme="minorHAnsi" w:hAnsiTheme="minorHAnsi" w:cstheme="minorHAnsi"/>
                <w:b/>
                <w:bCs/>
                <w:sz w:val="22"/>
                <w:lang w:eastAsia="fr-FR"/>
              </w:rPr>
            </w:pPr>
          </w:p>
        </w:tc>
      </w:tr>
      <w:tr w:rsidR="003B1E56" w:rsidRPr="007A377E" w14:paraId="41DDE603" w14:textId="77777777" w:rsidTr="0025113D">
        <w:tc>
          <w:tcPr>
            <w:tcW w:w="4508" w:type="dxa"/>
          </w:tcPr>
          <w:p w14:paraId="2F3334BE" w14:textId="50C7541F" w:rsidR="003B1E56" w:rsidRPr="007A377E" w:rsidRDefault="003B1E56" w:rsidP="003B1E56">
            <w:pPr>
              <w:jc w:val="center"/>
              <w:rPr>
                <w:rFonts w:asciiTheme="minorHAnsi" w:hAnsiTheme="minorHAnsi" w:cstheme="minorHAnsi"/>
                <w:sz w:val="22"/>
              </w:rPr>
            </w:pPr>
            <w:proofErr w:type="spellStart"/>
            <w:r w:rsidRPr="007A377E">
              <w:rPr>
                <w:rFonts w:asciiTheme="minorHAnsi" w:hAnsiTheme="minorHAnsi" w:cstheme="minorHAnsi"/>
                <w:b/>
                <w:bCs/>
                <w:sz w:val="22"/>
                <w:lang w:eastAsia="fr-FR"/>
              </w:rPr>
              <w:t>Article</w:t>
            </w:r>
            <w:proofErr w:type="spellEnd"/>
            <w:r w:rsidRPr="007A377E">
              <w:rPr>
                <w:rFonts w:asciiTheme="minorHAnsi" w:hAnsiTheme="minorHAnsi" w:cstheme="minorHAnsi"/>
                <w:b/>
                <w:bCs/>
                <w:sz w:val="22"/>
                <w:lang w:eastAsia="fr-FR"/>
              </w:rPr>
              <w:t xml:space="preserve"> </w:t>
            </w:r>
            <w:r>
              <w:rPr>
                <w:rFonts w:asciiTheme="minorHAnsi" w:hAnsiTheme="minorHAnsi" w:cstheme="minorHAnsi"/>
                <w:b/>
                <w:bCs/>
                <w:sz w:val="22"/>
                <w:lang w:eastAsia="fr-FR"/>
              </w:rPr>
              <w:t>18</w:t>
            </w:r>
          </w:p>
        </w:tc>
        <w:tc>
          <w:tcPr>
            <w:tcW w:w="4508" w:type="dxa"/>
          </w:tcPr>
          <w:p w14:paraId="5A7B28ED" w14:textId="1A8AF2F6" w:rsidR="003B1E56" w:rsidRPr="007A377E" w:rsidRDefault="003B1E56" w:rsidP="003B1E56">
            <w:pPr>
              <w:jc w:val="center"/>
              <w:rPr>
                <w:rFonts w:asciiTheme="minorHAnsi" w:hAnsiTheme="minorHAnsi" w:cstheme="minorHAnsi"/>
                <w:sz w:val="22"/>
              </w:rPr>
            </w:pPr>
            <w:r w:rsidRPr="007A377E">
              <w:rPr>
                <w:rFonts w:asciiTheme="minorHAnsi" w:hAnsiTheme="minorHAnsi" w:cstheme="minorHAnsi"/>
                <w:b/>
                <w:bCs/>
                <w:sz w:val="22"/>
                <w:lang w:eastAsia="fr-FR"/>
              </w:rPr>
              <w:t xml:space="preserve">Artikel </w:t>
            </w:r>
            <w:r>
              <w:rPr>
                <w:rFonts w:asciiTheme="minorHAnsi" w:hAnsiTheme="minorHAnsi" w:cstheme="minorHAnsi"/>
                <w:b/>
                <w:bCs/>
                <w:sz w:val="22"/>
                <w:lang w:eastAsia="fr-FR"/>
              </w:rPr>
              <w:t>18</w:t>
            </w:r>
          </w:p>
        </w:tc>
      </w:tr>
      <w:tr w:rsidR="003B1E56" w:rsidRPr="007A377E" w14:paraId="060A31E1" w14:textId="77777777" w:rsidTr="0025113D">
        <w:tc>
          <w:tcPr>
            <w:tcW w:w="4508" w:type="dxa"/>
          </w:tcPr>
          <w:p w14:paraId="61DA3857" w14:textId="77777777" w:rsidR="003B1E56" w:rsidRPr="007A377E" w:rsidRDefault="003B1E56" w:rsidP="003B1E56">
            <w:pPr>
              <w:jc w:val="center"/>
              <w:rPr>
                <w:rFonts w:asciiTheme="minorHAnsi" w:hAnsiTheme="minorHAnsi" w:cstheme="minorHAnsi"/>
                <w:b/>
                <w:bCs/>
                <w:sz w:val="22"/>
                <w:lang w:eastAsia="fr-FR"/>
              </w:rPr>
            </w:pPr>
          </w:p>
        </w:tc>
        <w:tc>
          <w:tcPr>
            <w:tcW w:w="4508" w:type="dxa"/>
          </w:tcPr>
          <w:p w14:paraId="0BB0506E" w14:textId="77777777" w:rsidR="003B1E56" w:rsidRPr="007A377E" w:rsidRDefault="003B1E56" w:rsidP="003B1E56">
            <w:pPr>
              <w:jc w:val="center"/>
              <w:rPr>
                <w:rFonts w:asciiTheme="minorHAnsi" w:hAnsiTheme="minorHAnsi" w:cstheme="minorHAnsi"/>
                <w:b/>
                <w:bCs/>
                <w:sz w:val="22"/>
                <w:lang w:eastAsia="fr-FR"/>
              </w:rPr>
            </w:pPr>
          </w:p>
        </w:tc>
      </w:tr>
      <w:tr w:rsidR="003B1E56" w:rsidRPr="00FD3270" w14:paraId="5157EED4" w14:textId="77777777" w:rsidTr="0025113D">
        <w:tc>
          <w:tcPr>
            <w:tcW w:w="4508" w:type="dxa"/>
          </w:tcPr>
          <w:p w14:paraId="46025927" w14:textId="495871A7" w:rsidR="003B1E56" w:rsidRPr="005648EB" w:rsidRDefault="003B1E56" w:rsidP="003B1E56">
            <w:pPr>
              <w:rPr>
                <w:rFonts w:asciiTheme="minorHAnsi" w:hAnsiTheme="minorHAnsi" w:cstheme="minorHAnsi"/>
                <w:sz w:val="22"/>
                <w:lang w:val="fr-BE"/>
              </w:rPr>
            </w:pPr>
            <w:r>
              <w:rPr>
                <w:rFonts w:asciiTheme="minorHAnsi" w:eastAsia="Times New Roman" w:hAnsiTheme="minorHAnsi" w:cstheme="minorHAnsi"/>
                <w:bCs/>
                <w:sz w:val="22"/>
                <w:lang w:val="fr-FR" w:eastAsia="fr-FR"/>
              </w:rPr>
              <w:t xml:space="preserve">Les modifications proposées par l’article 18 sont remplacées par ce qui suit : </w:t>
            </w:r>
          </w:p>
        </w:tc>
        <w:tc>
          <w:tcPr>
            <w:tcW w:w="4508" w:type="dxa"/>
          </w:tcPr>
          <w:p w14:paraId="632303DC" w14:textId="67032A5B" w:rsidR="003B1E56" w:rsidRPr="00FD3270" w:rsidRDefault="003B1E56" w:rsidP="003B1E56">
            <w:pPr>
              <w:rPr>
                <w:rFonts w:asciiTheme="minorHAnsi" w:hAnsiTheme="minorHAnsi" w:cstheme="minorHAnsi"/>
                <w:sz w:val="22"/>
              </w:rPr>
            </w:pPr>
            <w:r w:rsidRPr="003A1B2B">
              <w:rPr>
                <w:rFonts w:asciiTheme="minorHAnsi" w:eastAsia="Times New Roman" w:hAnsiTheme="minorHAnsi" w:cstheme="minorHAnsi"/>
                <w:bCs/>
                <w:sz w:val="22"/>
                <w:lang w:eastAsia="fr-FR"/>
              </w:rPr>
              <w:t>De voorgestelde wijzigingen bij artikel 18 worden vervangen als volgt:</w:t>
            </w:r>
          </w:p>
        </w:tc>
      </w:tr>
      <w:tr w:rsidR="003B1E56" w:rsidRPr="00FD3270" w14:paraId="5A95B0D3" w14:textId="77777777" w:rsidTr="0025113D">
        <w:tc>
          <w:tcPr>
            <w:tcW w:w="4508" w:type="dxa"/>
          </w:tcPr>
          <w:p w14:paraId="229B7FD6" w14:textId="77777777" w:rsidR="003B1E56" w:rsidRPr="00FD3270" w:rsidRDefault="003B1E56" w:rsidP="003B1E56">
            <w:pPr>
              <w:rPr>
                <w:rFonts w:asciiTheme="minorHAnsi" w:hAnsiTheme="minorHAnsi" w:cstheme="minorHAnsi"/>
                <w:sz w:val="22"/>
              </w:rPr>
            </w:pPr>
          </w:p>
        </w:tc>
        <w:tc>
          <w:tcPr>
            <w:tcW w:w="4508" w:type="dxa"/>
          </w:tcPr>
          <w:p w14:paraId="4283EFDC" w14:textId="77777777" w:rsidR="003B1E56" w:rsidRPr="00FD3270" w:rsidRDefault="003B1E56" w:rsidP="003B1E56">
            <w:pPr>
              <w:rPr>
                <w:rFonts w:asciiTheme="minorHAnsi" w:hAnsiTheme="minorHAnsi" w:cstheme="minorHAnsi"/>
                <w:sz w:val="22"/>
              </w:rPr>
            </w:pPr>
          </w:p>
        </w:tc>
      </w:tr>
      <w:tr w:rsidR="003B1E56" w:rsidRPr="00A715CA" w14:paraId="534290D0" w14:textId="77777777" w:rsidTr="0025113D">
        <w:tc>
          <w:tcPr>
            <w:tcW w:w="4508" w:type="dxa"/>
          </w:tcPr>
          <w:p w14:paraId="3DABA29B" w14:textId="14EE1DD4" w:rsidR="003B1E56" w:rsidRPr="005648EB" w:rsidRDefault="003B1E56" w:rsidP="003B1E56">
            <w:pPr>
              <w:jc w:val="both"/>
              <w:rPr>
                <w:rFonts w:asciiTheme="minorHAnsi" w:hAnsiTheme="minorHAnsi" w:cstheme="minorHAnsi"/>
                <w:sz w:val="22"/>
                <w:lang w:val="fr-BE"/>
              </w:rPr>
            </w:pPr>
            <w:r>
              <w:rPr>
                <w:rFonts w:asciiTheme="minorHAnsi" w:hAnsiTheme="minorHAnsi" w:cstheme="minorHAnsi"/>
                <w:sz w:val="22"/>
                <w:lang w:val="fr-BE"/>
              </w:rPr>
              <w:t>« </w:t>
            </w:r>
            <w:r w:rsidRPr="00D804AF">
              <w:rPr>
                <w:rFonts w:asciiTheme="minorHAnsi" w:hAnsiTheme="minorHAnsi" w:cstheme="minorHAnsi"/>
                <w:b/>
                <w:bCs/>
                <w:sz w:val="22"/>
                <w:lang w:val="fr-BE"/>
              </w:rPr>
              <w:t>Art. 18.</w:t>
            </w:r>
            <w:r>
              <w:rPr>
                <w:rFonts w:asciiTheme="minorHAnsi" w:hAnsiTheme="minorHAnsi" w:cstheme="minorHAnsi"/>
                <w:sz w:val="22"/>
                <w:lang w:val="fr-BE"/>
              </w:rPr>
              <w:t xml:space="preserve"> Dans la même loi, l’article 15, abrogé par la loi du 16 mars 2015, est rétabli dans la rédaction suivante :</w:t>
            </w:r>
          </w:p>
        </w:tc>
        <w:tc>
          <w:tcPr>
            <w:tcW w:w="4508" w:type="dxa"/>
          </w:tcPr>
          <w:p w14:paraId="7C89F32A" w14:textId="5273684E" w:rsidR="003B1E56" w:rsidRPr="00A715CA" w:rsidRDefault="003B1E56" w:rsidP="003B1E56">
            <w:pPr>
              <w:jc w:val="both"/>
              <w:rPr>
                <w:rFonts w:asciiTheme="minorHAnsi" w:hAnsiTheme="minorHAnsi" w:cstheme="minorHAnsi"/>
                <w:sz w:val="22"/>
              </w:rPr>
            </w:pPr>
            <w:r w:rsidRPr="003A1B2B">
              <w:rPr>
                <w:rFonts w:asciiTheme="minorHAnsi" w:hAnsiTheme="minorHAnsi" w:cstheme="minorHAnsi"/>
                <w:sz w:val="22"/>
              </w:rPr>
              <w:t>“</w:t>
            </w:r>
            <w:r w:rsidRPr="00D804AF">
              <w:rPr>
                <w:rFonts w:asciiTheme="minorHAnsi" w:hAnsiTheme="minorHAnsi" w:cstheme="minorHAnsi"/>
                <w:b/>
                <w:bCs/>
                <w:sz w:val="22"/>
              </w:rPr>
              <w:t>Art. 18.</w:t>
            </w:r>
            <w:r w:rsidRPr="003A1B2B">
              <w:rPr>
                <w:rFonts w:asciiTheme="minorHAnsi" w:hAnsiTheme="minorHAnsi" w:cstheme="minorHAnsi"/>
                <w:sz w:val="22"/>
              </w:rPr>
              <w:t xml:space="preserve"> In dezelfde wet, wordt artikel 15, opgeheven bij de wet van 16 maart 2015, hersteld als volgt:</w:t>
            </w:r>
          </w:p>
        </w:tc>
      </w:tr>
      <w:tr w:rsidR="003B1E56" w:rsidRPr="00A715CA" w14:paraId="259A2B8C" w14:textId="77777777" w:rsidTr="0025113D">
        <w:tc>
          <w:tcPr>
            <w:tcW w:w="4508" w:type="dxa"/>
          </w:tcPr>
          <w:p w14:paraId="5DDFCD55" w14:textId="77777777" w:rsidR="003B1E56" w:rsidRPr="00A715CA" w:rsidRDefault="003B1E56" w:rsidP="003B1E56">
            <w:pPr>
              <w:rPr>
                <w:rFonts w:asciiTheme="minorHAnsi" w:hAnsiTheme="minorHAnsi" w:cstheme="minorHAnsi"/>
                <w:sz w:val="22"/>
              </w:rPr>
            </w:pPr>
          </w:p>
        </w:tc>
        <w:tc>
          <w:tcPr>
            <w:tcW w:w="4508" w:type="dxa"/>
          </w:tcPr>
          <w:p w14:paraId="6DD52931" w14:textId="77777777" w:rsidR="003B1E56" w:rsidRPr="00A715CA" w:rsidRDefault="003B1E56" w:rsidP="003B1E56">
            <w:pPr>
              <w:rPr>
                <w:rFonts w:asciiTheme="minorHAnsi" w:hAnsiTheme="minorHAnsi" w:cstheme="minorHAnsi"/>
                <w:sz w:val="22"/>
              </w:rPr>
            </w:pPr>
          </w:p>
        </w:tc>
      </w:tr>
      <w:tr w:rsidR="003B1E56" w:rsidRPr="005648EB" w14:paraId="26BEC579" w14:textId="77777777" w:rsidTr="0025113D">
        <w:tc>
          <w:tcPr>
            <w:tcW w:w="4508" w:type="dxa"/>
          </w:tcPr>
          <w:p w14:paraId="07893C0F" w14:textId="293A3EB6" w:rsidR="003B1E56" w:rsidRPr="001C2ED0" w:rsidRDefault="003B1E56" w:rsidP="003B1E56">
            <w:pPr>
              <w:jc w:val="both"/>
              <w:rPr>
                <w:rFonts w:asciiTheme="minorHAnsi" w:hAnsiTheme="minorHAnsi" w:cstheme="minorHAnsi"/>
                <w:sz w:val="22"/>
                <w:lang w:val="fr-BE"/>
              </w:rPr>
            </w:pPr>
            <w:r w:rsidRPr="001C2ED0">
              <w:rPr>
                <w:rFonts w:asciiTheme="minorHAnsi" w:hAnsiTheme="minorHAnsi" w:cstheme="minorHAnsi"/>
                <w:b/>
                <w:sz w:val="22"/>
                <w:lang w:val="fr-BE"/>
              </w:rPr>
              <w:t xml:space="preserve">Art. </w:t>
            </w:r>
            <w:r w:rsidRPr="001C2ED0">
              <w:rPr>
                <w:rFonts w:asciiTheme="minorHAnsi" w:hAnsiTheme="minorHAnsi" w:cstheme="minorHAnsi"/>
                <w:b/>
                <w:bCs/>
                <w:sz w:val="22"/>
                <w:lang w:val="fr-BE"/>
              </w:rPr>
              <w:t>15.</w:t>
            </w:r>
            <w:r w:rsidRPr="001C2ED0">
              <w:rPr>
                <w:rFonts w:asciiTheme="minorHAnsi" w:hAnsiTheme="minorHAnsi" w:cstheme="minorHAnsi"/>
                <w:b/>
                <w:sz w:val="22"/>
                <w:lang w:val="fr-BE"/>
              </w:rPr>
              <w:t xml:space="preserve"> § 1</w:t>
            </w:r>
            <w:r w:rsidRPr="001C2ED0">
              <w:rPr>
                <w:rFonts w:asciiTheme="minorHAnsi" w:hAnsiTheme="minorHAnsi" w:cstheme="minorHAnsi"/>
                <w:b/>
                <w:sz w:val="22"/>
                <w:vertAlign w:val="superscript"/>
                <w:lang w:val="fr-BE"/>
              </w:rPr>
              <w:t>er</w:t>
            </w:r>
            <w:r w:rsidRPr="001C2ED0">
              <w:rPr>
                <w:rFonts w:asciiTheme="minorHAnsi" w:hAnsiTheme="minorHAnsi" w:cstheme="minorHAnsi"/>
                <w:b/>
                <w:sz w:val="22"/>
                <w:lang w:val="fr-BE"/>
              </w:rPr>
              <w:t>.</w:t>
            </w:r>
            <w:r w:rsidRPr="001C2ED0">
              <w:rPr>
                <w:rFonts w:asciiTheme="minorHAnsi" w:hAnsiTheme="minorHAnsi" w:cstheme="minorHAnsi"/>
                <w:sz w:val="22"/>
                <w:lang w:val="fr-BE"/>
              </w:rPr>
              <w:t xml:space="preserve"> Lorsque c’est nécessaire pour permettre à l’Institut d’accomplir </w:t>
            </w:r>
            <w:r w:rsidRPr="001C2ED0">
              <w:rPr>
                <w:rFonts w:asciiTheme="minorHAnsi" w:hAnsiTheme="minorHAnsi" w:cstheme="minorHAnsi"/>
                <w:color w:val="000000" w:themeColor="text1"/>
                <w:sz w:val="22"/>
                <w:lang w:val="fr-BE"/>
              </w:rPr>
              <w:t xml:space="preserve">l’une de ses missions d’application et de contrôle des dispositions énumérées à l'article 14, paragraphe 1er, 3°, a) et g) à i), ce dernier </w:t>
            </w:r>
            <w:r w:rsidRPr="001C2ED0">
              <w:rPr>
                <w:rFonts w:asciiTheme="minorHAnsi" w:hAnsiTheme="minorHAnsi" w:cstheme="minorHAnsi"/>
                <w:sz w:val="22"/>
                <w:lang w:val="fr-BE"/>
              </w:rPr>
              <w:t>peut exiger, par demande écrite et motivée, d’un opérateur de lui fournir des données relatives à l’abonné</w:t>
            </w:r>
            <w:r w:rsidRPr="001C2ED0">
              <w:rPr>
                <w:rFonts w:asciiTheme="minorHAnsi" w:hAnsiTheme="minorHAnsi" w:cstheme="minorHAnsi"/>
                <w:color w:val="000000" w:themeColor="text1"/>
                <w:sz w:val="22"/>
                <w:lang w:val="fr-BE"/>
              </w:rPr>
              <w:t xml:space="preserve"> ou à l’utilisateur habituel du service</w:t>
            </w:r>
            <w:r w:rsidRPr="001C2ED0">
              <w:rPr>
                <w:rFonts w:asciiTheme="minorHAnsi" w:hAnsiTheme="minorHAnsi" w:cstheme="minorHAnsi"/>
                <w:sz w:val="22"/>
                <w:lang w:val="fr-BE"/>
              </w:rPr>
              <w:t xml:space="preserve">. </w:t>
            </w:r>
            <w:r w:rsidRPr="001C2ED0">
              <w:rPr>
                <w:rFonts w:asciiTheme="minorHAnsi" w:hAnsiTheme="minorHAnsi" w:cstheme="minorHAnsi"/>
                <w:color w:val="000000" w:themeColor="text1"/>
                <w:sz w:val="22"/>
                <w:lang w:val="fr-FR"/>
              </w:rPr>
              <w:t>L'Institut fixe le délai de communication des données demandées.</w:t>
            </w:r>
          </w:p>
        </w:tc>
        <w:tc>
          <w:tcPr>
            <w:tcW w:w="4508" w:type="dxa"/>
          </w:tcPr>
          <w:p w14:paraId="36D1B94E" w14:textId="00BF3D14" w:rsidR="003B1E56" w:rsidRPr="001C2ED0" w:rsidRDefault="003B1E56" w:rsidP="003B1E56">
            <w:pPr>
              <w:jc w:val="both"/>
              <w:rPr>
                <w:rFonts w:asciiTheme="minorHAnsi" w:hAnsiTheme="minorHAnsi" w:cstheme="minorHAnsi"/>
                <w:sz w:val="22"/>
              </w:rPr>
            </w:pPr>
            <w:r w:rsidRPr="001C2ED0">
              <w:rPr>
                <w:rFonts w:asciiTheme="minorHAnsi" w:hAnsiTheme="minorHAnsi" w:cstheme="minorHAnsi"/>
                <w:b/>
                <w:sz w:val="22"/>
              </w:rPr>
              <w:t xml:space="preserve">Art. </w:t>
            </w:r>
            <w:r w:rsidRPr="001C2ED0">
              <w:rPr>
                <w:rFonts w:asciiTheme="minorHAnsi" w:hAnsiTheme="minorHAnsi" w:cstheme="minorHAnsi"/>
                <w:b/>
                <w:bCs/>
                <w:sz w:val="22"/>
              </w:rPr>
              <w:t>15.</w:t>
            </w:r>
            <w:r w:rsidRPr="001C2ED0">
              <w:rPr>
                <w:rFonts w:asciiTheme="minorHAnsi" w:hAnsiTheme="minorHAnsi" w:cstheme="minorHAnsi"/>
                <w:b/>
                <w:sz w:val="22"/>
              </w:rPr>
              <w:t xml:space="preserve"> § 1.</w:t>
            </w:r>
            <w:r w:rsidRPr="001C2ED0">
              <w:rPr>
                <w:rFonts w:asciiTheme="minorHAnsi" w:hAnsiTheme="minorHAnsi" w:cstheme="minorHAnsi"/>
                <w:sz w:val="22"/>
              </w:rPr>
              <w:t xml:space="preserve"> Wanneer het noodzakelijk is om het Instituut in staat te stellen een van zijn opdrachten inzake toepassing en controle van de bepalingen opgesomd in artikel </w:t>
            </w:r>
            <w:r w:rsidRPr="001C2ED0">
              <w:rPr>
                <w:rFonts w:asciiTheme="minorHAnsi" w:hAnsiTheme="minorHAnsi" w:cstheme="minorHAnsi"/>
                <w:color w:val="000000" w:themeColor="text1"/>
                <w:sz w:val="22"/>
              </w:rPr>
              <w:t xml:space="preserve">14, paragraaf 1, 3°, a) en g) tot i) uit te voeren, </w:t>
            </w:r>
            <w:r w:rsidRPr="001C2ED0">
              <w:rPr>
                <w:rFonts w:asciiTheme="minorHAnsi" w:hAnsiTheme="minorHAnsi" w:cstheme="minorHAnsi"/>
                <w:sz w:val="22"/>
              </w:rPr>
              <w:t>mag het Instituut van een operator, schriftelijk en met redenen omkleed, eisen dat hij eraan gegevens betreffende de abonnee of de gewoonlijke gebruiker van de dienst verstrekt. Het Instituut bepaalt de termijn waarbinnen de gegevens moeten worden meegedeeld.</w:t>
            </w:r>
          </w:p>
        </w:tc>
      </w:tr>
      <w:tr w:rsidR="003B1E56" w:rsidRPr="005648EB" w14:paraId="5DC25BB2" w14:textId="77777777" w:rsidTr="0025113D">
        <w:tc>
          <w:tcPr>
            <w:tcW w:w="4508" w:type="dxa"/>
          </w:tcPr>
          <w:p w14:paraId="60637096" w14:textId="77777777" w:rsidR="003B1E56" w:rsidRPr="001C2ED0" w:rsidRDefault="003B1E56" w:rsidP="003B1E56">
            <w:pPr>
              <w:jc w:val="both"/>
              <w:rPr>
                <w:rFonts w:asciiTheme="minorHAnsi" w:hAnsiTheme="minorHAnsi" w:cstheme="minorHAnsi"/>
                <w:sz w:val="22"/>
              </w:rPr>
            </w:pPr>
          </w:p>
        </w:tc>
        <w:tc>
          <w:tcPr>
            <w:tcW w:w="4508" w:type="dxa"/>
          </w:tcPr>
          <w:p w14:paraId="61E3084D" w14:textId="77777777" w:rsidR="003B1E56" w:rsidRPr="001C2ED0" w:rsidRDefault="003B1E56" w:rsidP="003B1E56">
            <w:pPr>
              <w:jc w:val="both"/>
              <w:rPr>
                <w:rFonts w:asciiTheme="minorHAnsi" w:hAnsiTheme="minorHAnsi" w:cstheme="minorHAnsi"/>
                <w:sz w:val="22"/>
              </w:rPr>
            </w:pPr>
          </w:p>
        </w:tc>
      </w:tr>
      <w:tr w:rsidR="003B1E56" w:rsidRPr="005648EB" w14:paraId="3B71C554" w14:textId="77777777" w:rsidTr="0025113D">
        <w:tc>
          <w:tcPr>
            <w:tcW w:w="4508" w:type="dxa"/>
          </w:tcPr>
          <w:p w14:paraId="7831D766" w14:textId="4913B000" w:rsidR="003B1E56" w:rsidRPr="001C2ED0" w:rsidRDefault="003B1E56" w:rsidP="003B1E56">
            <w:pPr>
              <w:jc w:val="both"/>
              <w:rPr>
                <w:rFonts w:asciiTheme="minorHAnsi" w:hAnsiTheme="minorHAnsi" w:cstheme="minorHAnsi"/>
                <w:sz w:val="22"/>
              </w:rPr>
            </w:pPr>
            <w:r w:rsidRPr="001C2ED0">
              <w:rPr>
                <w:rFonts w:asciiTheme="minorHAnsi" w:hAnsiTheme="minorHAnsi" w:cstheme="minorHAnsi"/>
                <w:b/>
                <w:bCs/>
                <w:sz w:val="22"/>
                <w:lang w:val="fr-BE"/>
              </w:rPr>
              <w:t xml:space="preserve">§ </w:t>
            </w:r>
            <w:r w:rsidRPr="001C2ED0">
              <w:rPr>
                <w:rFonts w:asciiTheme="minorHAnsi" w:hAnsiTheme="minorHAnsi" w:cstheme="minorHAnsi"/>
                <w:b/>
                <w:sz w:val="22"/>
                <w:lang w:val="fr-BE"/>
              </w:rPr>
              <w:t>2.</w:t>
            </w:r>
            <w:r w:rsidRPr="001C2ED0">
              <w:rPr>
                <w:rFonts w:asciiTheme="minorHAnsi" w:hAnsiTheme="minorHAnsi" w:cstheme="minorHAnsi"/>
                <w:sz w:val="22"/>
                <w:lang w:val="fr-BE"/>
              </w:rPr>
              <w:t xml:space="preserve"> Lorsque c’est nécessaire pour permettre à l’Institut d’accomplir </w:t>
            </w:r>
            <w:r w:rsidRPr="001C2ED0">
              <w:rPr>
                <w:rFonts w:asciiTheme="minorHAnsi" w:hAnsiTheme="minorHAnsi" w:cstheme="minorHAnsi"/>
                <w:color w:val="000000" w:themeColor="text1"/>
                <w:sz w:val="22"/>
                <w:lang w:val="fr-BE"/>
              </w:rPr>
              <w:t>l’une de ses missions d’application et de contrôle des dispositions énumérées à l’article 14, paragraphe 1er, 3°, a) et g) à i), ce dernier</w:t>
            </w:r>
            <w:r w:rsidRPr="001C2ED0">
              <w:rPr>
                <w:rFonts w:asciiTheme="minorHAnsi" w:hAnsiTheme="minorHAnsi" w:cstheme="minorHAnsi"/>
                <w:sz w:val="22"/>
                <w:lang w:val="fr-BE"/>
              </w:rPr>
              <w:t xml:space="preserve"> peut exiger, par demande écrite et motivée, d’un opérateur</w:t>
            </w:r>
            <w:r w:rsidRPr="001C2ED0" w:rsidDel="006872CA">
              <w:rPr>
                <w:rFonts w:asciiTheme="minorHAnsi" w:hAnsiTheme="minorHAnsi" w:cstheme="minorHAnsi"/>
                <w:sz w:val="22"/>
                <w:lang w:val="fr-BE"/>
              </w:rPr>
              <w:t xml:space="preserve"> </w:t>
            </w:r>
            <w:r w:rsidRPr="001C2ED0">
              <w:rPr>
                <w:rFonts w:asciiTheme="minorHAnsi" w:hAnsiTheme="minorHAnsi" w:cstheme="minorHAnsi"/>
                <w:sz w:val="22"/>
                <w:lang w:val="fr-BE"/>
              </w:rPr>
              <w:t xml:space="preserve">de lui fournir des métadonnées de communications électroniques, autres que les données relatives à l’abonné ou à l’utilisateur habituel du service. </w:t>
            </w:r>
            <w:r w:rsidRPr="001C2ED0">
              <w:rPr>
                <w:rFonts w:asciiTheme="minorHAnsi" w:hAnsiTheme="minorHAnsi" w:cstheme="minorHAnsi"/>
                <w:color w:val="000000" w:themeColor="text1"/>
                <w:sz w:val="22"/>
                <w:lang w:val="fr-FR"/>
              </w:rPr>
              <w:t>L'Institut fixe le délai de communication des données demandées.</w:t>
            </w:r>
          </w:p>
        </w:tc>
        <w:tc>
          <w:tcPr>
            <w:tcW w:w="4508" w:type="dxa"/>
          </w:tcPr>
          <w:p w14:paraId="2B2166CE" w14:textId="50AC8304" w:rsidR="003B1E56" w:rsidRPr="001C2ED0" w:rsidRDefault="003B1E56" w:rsidP="00516CCD">
            <w:pPr>
              <w:jc w:val="both"/>
              <w:rPr>
                <w:rFonts w:asciiTheme="minorHAnsi" w:hAnsiTheme="minorHAnsi" w:cstheme="minorHAnsi"/>
                <w:sz w:val="22"/>
              </w:rPr>
            </w:pPr>
            <w:r w:rsidRPr="001C2ED0">
              <w:rPr>
                <w:rFonts w:asciiTheme="minorHAnsi" w:hAnsiTheme="minorHAnsi" w:cstheme="minorHAnsi"/>
                <w:b/>
                <w:sz w:val="22"/>
              </w:rPr>
              <w:t>§ 2.</w:t>
            </w:r>
            <w:r w:rsidRPr="001C2ED0">
              <w:rPr>
                <w:rFonts w:asciiTheme="minorHAnsi" w:hAnsiTheme="minorHAnsi" w:cstheme="minorHAnsi"/>
                <w:sz w:val="22"/>
              </w:rPr>
              <w:t xml:space="preserve"> Wanneer het noodzakelijk is om het Instituut in staat te stellen een van zijn opdrachten inzake toepassing en controle van de bepalingen opgesomd in artikel 14, paragraaf 1, 3°, a) en g) tot i) uit te </w:t>
            </w:r>
            <w:r w:rsidRPr="00AD32FE">
              <w:rPr>
                <w:rFonts w:asciiTheme="minorHAnsi" w:hAnsiTheme="minorHAnsi" w:cstheme="minorHAnsi"/>
                <w:sz w:val="22"/>
              </w:rPr>
              <w:t xml:space="preserve">voeren, mag het Instituut van een operator, schriftelijk en met redenen omkleed,  eisen dat hij </w:t>
            </w:r>
            <w:r w:rsidR="00621018">
              <w:rPr>
                <w:rFonts w:asciiTheme="minorHAnsi" w:hAnsiTheme="minorHAnsi" w:cstheme="minorHAnsi"/>
                <w:sz w:val="22"/>
              </w:rPr>
              <w:t>eraan</w:t>
            </w:r>
            <w:r w:rsidRPr="00AD32FE">
              <w:rPr>
                <w:rFonts w:asciiTheme="minorHAnsi" w:hAnsiTheme="minorHAnsi" w:cstheme="minorHAnsi"/>
                <w:sz w:val="22"/>
              </w:rPr>
              <w:t xml:space="preserve"> andere</w:t>
            </w:r>
            <w:r w:rsidRPr="001C2ED0">
              <w:rPr>
                <w:rFonts w:asciiTheme="minorHAnsi" w:hAnsiTheme="minorHAnsi" w:cstheme="minorHAnsi"/>
                <w:sz w:val="22"/>
              </w:rPr>
              <w:t xml:space="preserve"> elektronische-</w:t>
            </w:r>
            <w:proofErr w:type="spellStart"/>
            <w:r w:rsidRPr="001C2ED0">
              <w:rPr>
                <w:rFonts w:asciiTheme="minorHAnsi" w:hAnsiTheme="minorHAnsi" w:cstheme="minorHAnsi"/>
                <w:sz w:val="22"/>
              </w:rPr>
              <w:t>communicatiemetagegevens</w:t>
            </w:r>
            <w:proofErr w:type="spellEnd"/>
            <w:r w:rsidRPr="001C2ED0">
              <w:rPr>
                <w:rFonts w:asciiTheme="minorHAnsi" w:hAnsiTheme="minorHAnsi" w:cstheme="minorHAnsi"/>
                <w:sz w:val="22"/>
              </w:rPr>
              <w:t xml:space="preserve"> verstrekt dan de gegevens betreffende de abonnee of de gewoonlijke gebruiker van de dienst. Het Instituut bepaalt de termijn waarbinnen de gegevens moeten worden meegedeeld.</w:t>
            </w:r>
          </w:p>
        </w:tc>
      </w:tr>
      <w:tr w:rsidR="003B1E56" w:rsidRPr="005648EB" w14:paraId="03D6A155" w14:textId="77777777" w:rsidTr="0025113D">
        <w:tc>
          <w:tcPr>
            <w:tcW w:w="4508" w:type="dxa"/>
          </w:tcPr>
          <w:p w14:paraId="16ABEEDA" w14:textId="77777777" w:rsidR="003B1E56" w:rsidRPr="001C2ED0" w:rsidRDefault="003B1E56" w:rsidP="003B1E56">
            <w:pPr>
              <w:jc w:val="both"/>
              <w:rPr>
                <w:rFonts w:asciiTheme="minorHAnsi" w:hAnsiTheme="minorHAnsi" w:cstheme="minorHAnsi"/>
                <w:sz w:val="22"/>
              </w:rPr>
            </w:pPr>
          </w:p>
        </w:tc>
        <w:tc>
          <w:tcPr>
            <w:tcW w:w="4508" w:type="dxa"/>
          </w:tcPr>
          <w:p w14:paraId="5CF6D1AC" w14:textId="77777777" w:rsidR="003B1E56" w:rsidRPr="001C2ED0" w:rsidRDefault="003B1E56" w:rsidP="003B1E56">
            <w:pPr>
              <w:jc w:val="both"/>
              <w:rPr>
                <w:rFonts w:asciiTheme="minorHAnsi" w:hAnsiTheme="minorHAnsi" w:cstheme="minorHAnsi"/>
                <w:sz w:val="22"/>
              </w:rPr>
            </w:pPr>
          </w:p>
        </w:tc>
      </w:tr>
      <w:tr w:rsidR="003B1E56" w:rsidRPr="005648EB" w14:paraId="57C77C5C" w14:textId="77777777" w:rsidTr="0025113D">
        <w:tc>
          <w:tcPr>
            <w:tcW w:w="4508" w:type="dxa"/>
          </w:tcPr>
          <w:p w14:paraId="5BF7F84B" w14:textId="1011532D" w:rsidR="003B1E56" w:rsidRPr="001C2ED0" w:rsidRDefault="003B1E56" w:rsidP="003B1E56">
            <w:pPr>
              <w:jc w:val="both"/>
              <w:rPr>
                <w:rFonts w:asciiTheme="minorHAnsi" w:hAnsiTheme="minorHAnsi" w:cstheme="minorHAnsi"/>
                <w:sz w:val="22"/>
                <w:lang w:val="fr-BE"/>
              </w:rPr>
            </w:pPr>
            <w:r w:rsidRPr="001C2ED0">
              <w:rPr>
                <w:rFonts w:asciiTheme="minorHAnsi" w:hAnsiTheme="minorHAnsi" w:cstheme="minorHAnsi"/>
                <w:sz w:val="22"/>
                <w:lang w:val="fr-BE"/>
              </w:rPr>
              <w:t>Sauf en cas d’urgence dûment justifié, l’Institut ne peut adresser la demande à l’opérateur qu’après avoir soumis une</w:t>
            </w:r>
            <w:r w:rsidRPr="001C2ED0">
              <w:rPr>
                <w:rFonts w:asciiTheme="minorHAnsi" w:hAnsiTheme="minorHAnsi" w:cstheme="minorHAnsi"/>
                <w:color w:val="000000" w:themeColor="text1"/>
                <w:sz w:val="22"/>
                <w:lang w:val="fr-BE"/>
              </w:rPr>
              <w:t xml:space="preserve"> demande écrite et motivée à </w:t>
            </w:r>
            <w:r w:rsidRPr="001C2ED0">
              <w:rPr>
                <w:rFonts w:asciiTheme="minorHAnsi" w:hAnsiTheme="minorHAnsi" w:cstheme="minorHAnsi"/>
                <w:sz w:val="22"/>
                <w:lang w:val="fr-BE"/>
              </w:rPr>
              <w:t xml:space="preserve"> l’Autorité de protection des données et après avoir obtenu l’autorisation écrite de cette dernière. </w:t>
            </w:r>
          </w:p>
        </w:tc>
        <w:tc>
          <w:tcPr>
            <w:tcW w:w="4508" w:type="dxa"/>
          </w:tcPr>
          <w:p w14:paraId="52FD3AD9" w14:textId="03B0B167" w:rsidR="003B1E56" w:rsidRPr="001C2ED0" w:rsidRDefault="003B1E56" w:rsidP="003B1E56">
            <w:pPr>
              <w:jc w:val="both"/>
              <w:rPr>
                <w:rFonts w:asciiTheme="minorHAnsi" w:hAnsiTheme="minorHAnsi" w:cstheme="minorHAnsi"/>
                <w:sz w:val="22"/>
              </w:rPr>
            </w:pPr>
            <w:r w:rsidRPr="001C2ED0">
              <w:rPr>
                <w:rFonts w:asciiTheme="minorHAnsi" w:hAnsiTheme="minorHAnsi" w:cstheme="minorHAnsi"/>
                <w:sz w:val="22"/>
              </w:rPr>
              <w:t>Tenzij in een naar behoren gerechtvaardigd noodgeval, mag het Instituut het verzoek aan de operator pas richten na het voorleggen van zijn met redenen omkleed en schriftelijk verzoek aan de Gegevensbeschermingsautoriteit en na het ontvangen van de schriftelijke toestemming van deze laatste.</w:t>
            </w:r>
          </w:p>
        </w:tc>
      </w:tr>
      <w:tr w:rsidR="003B1E56" w:rsidRPr="00AD32FE" w14:paraId="76F659A4" w14:textId="77777777" w:rsidTr="0025113D">
        <w:tc>
          <w:tcPr>
            <w:tcW w:w="4508" w:type="dxa"/>
          </w:tcPr>
          <w:p w14:paraId="4D5DAE97" w14:textId="77777777" w:rsidR="003B1E56" w:rsidRPr="00AD32FE" w:rsidRDefault="003B1E56" w:rsidP="003B1E56">
            <w:pPr>
              <w:jc w:val="both"/>
              <w:rPr>
                <w:rFonts w:asciiTheme="minorHAnsi" w:hAnsiTheme="minorHAnsi" w:cstheme="minorHAnsi"/>
                <w:sz w:val="22"/>
              </w:rPr>
            </w:pPr>
          </w:p>
        </w:tc>
        <w:tc>
          <w:tcPr>
            <w:tcW w:w="4508" w:type="dxa"/>
          </w:tcPr>
          <w:p w14:paraId="1DFFBCAF" w14:textId="77777777" w:rsidR="003B1E56" w:rsidRPr="00AD32FE" w:rsidRDefault="003B1E56" w:rsidP="003B1E56">
            <w:pPr>
              <w:jc w:val="both"/>
              <w:rPr>
                <w:rFonts w:asciiTheme="minorHAnsi" w:hAnsiTheme="minorHAnsi" w:cstheme="minorHAnsi"/>
                <w:sz w:val="22"/>
              </w:rPr>
            </w:pPr>
          </w:p>
        </w:tc>
      </w:tr>
      <w:tr w:rsidR="003B1E56" w:rsidRPr="00AD32FE" w14:paraId="41F4A8EE" w14:textId="77777777" w:rsidTr="0025113D">
        <w:tc>
          <w:tcPr>
            <w:tcW w:w="4508" w:type="dxa"/>
          </w:tcPr>
          <w:p w14:paraId="63D9E123" w14:textId="2059721A" w:rsidR="003B1E56" w:rsidRPr="00AD32FE" w:rsidRDefault="003B1E56" w:rsidP="003B1E56">
            <w:pPr>
              <w:jc w:val="both"/>
              <w:rPr>
                <w:rFonts w:asciiTheme="minorHAnsi" w:hAnsiTheme="minorHAnsi" w:cstheme="minorHAnsi"/>
                <w:sz w:val="22"/>
              </w:rPr>
            </w:pPr>
            <w:bookmarkStart w:id="15" w:name="_Hlk96324682"/>
            <w:r w:rsidRPr="00AD32FE">
              <w:rPr>
                <w:rFonts w:asciiTheme="minorHAnsi" w:hAnsiTheme="minorHAnsi" w:cstheme="minorHAnsi"/>
                <w:sz w:val="22"/>
                <w:lang w:val="fr-BE"/>
              </w:rPr>
              <w:t xml:space="preserve">En cas d’urgence dûment justifiée, l’Institut communique à l’Autorité de protection des données, sans délai après l’envoi de la demande à l’opérateur,  une copie de cette  demande, la motivation de la demande ainsi que la justification de l’urgence. </w:t>
            </w:r>
            <w:proofErr w:type="spellStart"/>
            <w:r w:rsidRPr="00AD32FE">
              <w:rPr>
                <w:rFonts w:asciiTheme="minorHAnsi" w:hAnsiTheme="minorHAnsi" w:cstheme="minorHAnsi"/>
                <w:sz w:val="22"/>
              </w:rPr>
              <w:t>L’Autorité</w:t>
            </w:r>
            <w:proofErr w:type="spellEnd"/>
            <w:r w:rsidRPr="00AD32FE">
              <w:rPr>
                <w:rFonts w:asciiTheme="minorHAnsi" w:hAnsiTheme="minorHAnsi" w:cstheme="minorHAnsi"/>
                <w:sz w:val="22"/>
              </w:rPr>
              <w:t xml:space="preserve"> de </w:t>
            </w:r>
            <w:proofErr w:type="spellStart"/>
            <w:r w:rsidRPr="00AD32FE">
              <w:rPr>
                <w:rFonts w:asciiTheme="minorHAnsi" w:hAnsiTheme="minorHAnsi" w:cstheme="minorHAnsi"/>
                <w:sz w:val="22"/>
              </w:rPr>
              <w:t>protection</w:t>
            </w:r>
            <w:proofErr w:type="spellEnd"/>
            <w:r w:rsidRPr="00AD32FE">
              <w:rPr>
                <w:rFonts w:asciiTheme="minorHAnsi" w:hAnsiTheme="minorHAnsi" w:cstheme="minorHAnsi"/>
                <w:sz w:val="22"/>
              </w:rPr>
              <w:t xml:space="preserve"> des </w:t>
            </w:r>
            <w:proofErr w:type="spellStart"/>
            <w:r w:rsidRPr="00AD32FE">
              <w:rPr>
                <w:rFonts w:asciiTheme="minorHAnsi" w:hAnsiTheme="minorHAnsi" w:cstheme="minorHAnsi"/>
                <w:sz w:val="22"/>
              </w:rPr>
              <w:t>données</w:t>
            </w:r>
            <w:bookmarkEnd w:id="15"/>
            <w:proofErr w:type="spellEnd"/>
            <w:r w:rsidRPr="00AD32FE">
              <w:rPr>
                <w:rFonts w:asciiTheme="minorHAnsi" w:hAnsiTheme="minorHAnsi" w:cstheme="minorHAnsi"/>
                <w:sz w:val="22"/>
              </w:rPr>
              <w:t xml:space="preserve"> </w:t>
            </w:r>
            <w:proofErr w:type="spellStart"/>
            <w:r w:rsidRPr="00AD32FE">
              <w:rPr>
                <w:rFonts w:asciiTheme="minorHAnsi" w:hAnsiTheme="minorHAnsi" w:cstheme="minorHAnsi"/>
                <w:sz w:val="22"/>
              </w:rPr>
              <w:t>effectue</w:t>
            </w:r>
            <w:proofErr w:type="spellEnd"/>
            <w:r w:rsidRPr="00AD32FE">
              <w:rPr>
                <w:rFonts w:asciiTheme="minorHAnsi" w:hAnsiTheme="minorHAnsi" w:cstheme="minorHAnsi"/>
                <w:sz w:val="22"/>
              </w:rPr>
              <w:t xml:space="preserve"> </w:t>
            </w:r>
            <w:proofErr w:type="spellStart"/>
            <w:r w:rsidRPr="00AD32FE">
              <w:rPr>
                <w:rFonts w:asciiTheme="minorHAnsi" w:hAnsiTheme="minorHAnsi" w:cstheme="minorHAnsi"/>
                <w:sz w:val="22"/>
              </w:rPr>
              <w:t>ultérieurement</w:t>
            </w:r>
            <w:proofErr w:type="spellEnd"/>
            <w:r w:rsidRPr="00AD32FE">
              <w:rPr>
                <w:rFonts w:asciiTheme="minorHAnsi" w:hAnsiTheme="minorHAnsi" w:cstheme="minorHAnsi"/>
                <w:sz w:val="22"/>
              </w:rPr>
              <w:t xml:space="preserve"> </w:t>
            </w:r>
            <w:proofErr w:type="spellStart"/>
            <w:r w:rsidRPr="00AD32FE">
              <w:rPr>
                <w:rFonts w:asciiTheme="minorHAnsi" w:hAnsiTheme="minorHAnsi" w:cstheme="minorHAnsi"/>
                <w:sz w:val="22"/>
              </w:rPr>
              <w:t>un</w:t>
            </w:r>
            <w:proofErr w:type="spellEnd"/>
            <w:r w:rsidRPr="00AD32FE">
              <w:rPr>
                <w:rFonts w:asciiTheme="minorHAnsi" w:hAnsiTheme="minorHAnsi" w:cstheme="minorHAnsi"/>
                <w:sz w:val="22"/>
              </w:rPr>
              <w:t xml:space="preserve"> </w:t>
            </w:r>
            <w:proofErr w:type="spellStart"/>
            <w:r w:rsidRPr="00AD32FE">
              <w:rPr>
                <w:rFonts w:asciiTheme="minorHAnsi" w:hAnsiTheme="minorHAnsi" w:cstheme="minorHAnsi"/>
                <w:sz w:val="22"/>
              </w:rPr>
              <w:t>contrôle</w:t>
            </w:r>
            <w:proofErr w:type="spellEnd"/>
            <w:r w:rsidRPr="00AD32FE">
              <w:rPr>
                <w:rFonts w:asciiTheme="minorHAnsi" w:hAnsiTheme="minorHAnsi" w:cstheme="minorHAnsi"/>
                <w:sz w:val="22"/>
              </w:rPr>
              <w:t xml:space="preserve">. </w:t>
            </w:r>
          </w:p>
        </w:tc>
        <w:tc>
          <w:tcPr>
            <w:tcW w:w="4508" w:type="dxa"/>
          </w:tcPr>
          <w:p w14:paraId="389EDF98" w14:textId="27DEF788" w:rsidR="003B1E56" w:rsidRPr="00AD32FE" w:rsidRDefault="003B1E56" w:rsidP="003B1E56">
            <w:pPr>
              <w:jc w:val="both"/>
              <w:rPr>
                <w:rFonts w:asciiTheme="minorHAnsi" w:hAnsiTheme="minorHAnsi" w:cstheme="minorHAnsi"/>
                <w:sz w:val="22"/>
              </w:rPr>
            </w:pPr>
            <w:r w:rsidRPr="00AD32FE">
              <w:rPr>
                <w:rFonts w:asciiTheme="minorHAnsi" w:hAnsiTheme="minorHAnsi" w:cstheme="minorHAnsi"/>
                <w:sz w:val="22"/>
              </w:rPr>
              <w:t>In een naar behoren gerechtvaardigd noodgeval deelt het Instituut na de verzending van het verzoek naar de operator onverwijld een kopie van dat verzoek, de motivering van het ve</w:t>
            </w:r>
            <w:r w:rsidR="00516CCD" w:rsidRPr="00AD32FE">
              <w:rPr>
                <w:rFonts w:asciiTheme="minorHAnsi" w:hAnsiTheme="minorHAnsi" w:cstheme="minorHAnsi"/>
                <w:sz w:val="22"/>
              </w:rPr>
              <w:t>r</w:t>
            </w:r>
            <w:r w:rsidRPr="00AD32FE">
              <w:rPr>
                <w:rFonts w:asciiTheme="minorHAnsi" w:hAnsiTheme="minorHAnsi" w:cstheme="minorHAnsi"/>
                <w:sz w:val="22"/>
              </w:rPr>
              <w:t>zoek, alsook de rechtvaardiging van de hoogdringendheid mee aan de Gegevensbeschermingsautoriteit</w:t>
            </w:r>
            <w:r w:rsidRPr="00AD32FE" w:rsidDel="00EA04AE">
              <w:rPr>
                <w:rFonts w:asciiTheme="minorHAnsi" w:hAnsiTheme="minorHAnsi" w:cstheme="minorHAnsi"/>
                <w:sz w:val="22"/>
              </w:rPr>
              <w:t>.</w:t>
            </w:r>
            <w:r w:rsidRPr="00AD32FE">
              <w:rPr>
                <w:rFonts w:asciiTheme="minorHAnsi" w:hAnsiTheme="minorHAnsi" w:cstheme="minorHAnsi"/>
                <w:sz w:val="22"/>
              </w:rPr>
              <w:t xml:space="preserve"> De Gegevensbeschermingsautoriteit voert daarna een controle uit. </w:t>
            </w:r>
          </w:p>
        </w:tc>
      </w:tr>
      <w:tr w:rsidR="003B1E56" w:rsidRPr="00AD32FE" w14:paraId="02DD8514" w14:textId="77777777" w:rsidTr="0025113D">
        <w:tc>
          <w:tcPr>
            <w:tcW w:w="4508" w:type="dxa"/>
          </w:tcPr>
          <w:p w14:paraId="62017CB7" w14:textId="77777777" w:rsidR="003B1E56" w:rsidRPr="00AD32FE" w:rsidRDefault="003B1E56" w:rsidP="003B1E56">
            <w:pPr>
              <w:jc w:val="both"/>
              <w:rPr>
                <w:rFonts w:asciiTheme="minorHAnsi" w:hAnsiTheme="minorHAnsi" w:cstheme="minorHAnsi"/>
                <w:sz w:val="22"/>
              </w:rPr>
            </w:pPr>
          </w:p>
        </w:tc>
        <w:tc>
          <w:tcPr>
            <w:tcW w:w="4508" w:type="dxa"/>
          </w:tcPr>
          <w:p w14:paraId="6E1A528B" w14:textId="77777777" w:rsidR="003B1E56" w:rsidRPr="00AD32FE" w:rsidRDefault="003B1E56" w:rsidP="003B1E56">
            <w:pPr>
              <w:jc w:val="both"/>
              <w:rPr>
                <w:rFonts w:asciiTheme="minorHAnsi" w:hAnsiTheme="minorHAnsi" w:cstheme="minorHAnsi"/>
                <w:sz w:val="22"/>
              </w:rPr>
            </w:pPr>
          </w:p>
        </w:tc>
      </w:tr>
      <w:tr w:rsidR="003B1E56" w:rsidRPr="005648EB" w14:paraId="1467E556" w14:textId="77777777" w:rsidTr="0025113D">
        <w:tc>
          <w:tcPr>
            <w:tcW w:w="4508" w:type="dxa"/>
          </w:tcPr>
          <w:p w14:paraId="405988A2" w14:textId="67D7DF1D" w:rsidR="003B1E56" w:rsidRPr="001C2ED0" w:rsidRDefault="003B1E56" w:rsidP="003B1E56">
            <w:pPr>
              <w:jc w:val="both"/>
              <w:rPr>
                <w:rFonts w:asciiTheme="minorHAnsi" w:hAnsiTheme="minorHAnsi" w:cstheme="minorHAnsi"/>
                <w:sz w:val="22"/>
                <w:lang w:val="fr-BE"/>
              </w:rPr>
            </w:pPr>
            <w:r w:rsidRPr="001C2ED0">
              <w:rPr>
                <w:rFonts w:asciiTheme="minorHAnsi" w:hAnsiTheme="minorHAnsi" w:cstheme="minorHAnsi"/>
                <w:b/>
                <w:bCs/>
                <w:sz w:val="22"/>
                <w:lang w:val="fr-BE"/>
              </w:rPr>
              <w:t>§ 3</w:t>
            </w:r>
            <w:r w:rsidRPr="001C2ED0">
              <w:rPr>
                <w:rFonts w:asciiTheme="minorHAnsi" w:hAnsiTheme="minorHAnsi" w:cstheme="minorHAnsi"/>
                <w:sz w:val="22"/>
                <w:lang w:val="fr-BE"/>
              </w:rPr>
              <w:t xml:space="preserve">. Par dérogation aux paragraphes 1 et 2 et afin de contrôler le respect par un opérateur de l’article 122, de l’article 123, de l’article 126, de l’article 126/1, de l’article 126/2 ou de l’article 127 de la loi du 13 juin 2005 relative aux communications électroniques ou d’un arrêté d’exécution d’un de ces articles, l’Institut peut exiger d’un opérateur, par demande écrite et motivée, de lui fournir l’accès lui permettant de consulter une base de données qui met en œuvre un de ces articles ou un de ces arrêtés d’exécution. </w:t>
            </w:r>
          </w:p>
        </w:tc>
        <w:tc>
          <w:tcPr>
            <w:tcW w:w="4508" w:type="dxa"/>
          </w:tcPr>
          <w:p w14:paraId="45DB9820" w14:textId="5F97566A" w:rsidR="003B1E56" w:rsidRPr="001C2ED0" w:rsidRDefault="003B1E56" w:rsidP="003B1E56">
            <w:pPr>
              <w:jc w:val="both"/>
              <w:rPr>
                <w:rFonts w:asciiTheme="minorHAnsi" w:hAnsiTheme="minorHAnsi" w:cstheme="minorHAnsi"/>
                <w:sz w:val="22"/>
              </w:rPr>
            </w:pPr>
            <w:r w:rsidRPr="001C2ED0">
              <w:rPr>
                <w:rFonts w:asciiTheme="minorHAnsi" w:hAnsiTheme="minorHAnsi" w:cstheme="minorHAnsi"/>
                <w:b/>
                <w:bCs/>
                <w:sz w:val="22"/>
              </w:rPr>
              <w:t>§ 3.</w:t>
            </w:r>
            <w:r w:rsidRPr="001C2ED0">
              <w:rPr>
                <w:rFonts w:asciiTheme="minorHAnsi" w:hAnsiTheme="minorHAnsi" w:cstheme="minorHAnsi"/>
                <w:sz w:val="22"/>
              </w:rPr>
              <w:t xml:space="preserve"> In afwijking van de paragrafen 1 en 2 en om de naleving door een operator van artikel 122, van artikel 123, van artikel 126, van artikel 126/1, van artikel 126/2 of van artikel 127 van de wet van 13 juni 2005 betreffende de elektronische communicatie of van een besluit ter uitvoering van een van deze artikelen te controleren, kan het Instituut met een schriftelijk en met redenen omkleed verzoek van een operator eisen om aan het Instituut toegang te verlenen zodat het een databank kan raadplegen die een van deze artikelen of een van deze uitvoeringsbesluiten ten uitvoer legt.</w:t>
            </w:r>
          </w:p>
        </w:tc>
      </w:tr>
      <w:tr w:rsidR="003B1E56" w:rsidRPr="005648EB" w14:paraId="589B6C5D" w14:textId="77777777" w:rsidTr="0025113D">
        <w:tc>
          <w:tcPr>
            <w:tcW w:w="4508" w:type="dxa"/>
          </w:tcPr>
          <w:p w14:paraId="70D5C252" w14:textId="77777777" w:rsidR="003B1E56" w:rsidRPr="001C2ED0" w:rsidRDefault="003B1E56" w:rsidP="003B1E56">
            <w:pPr>
              <w:jc w:val="both"/>
              <w:rPr>
                <w:rFonts w:asciiTheme="minorHAnsi" w:hAnsiTheme="minorHAnsi" w:cstheme="minorHAnsi"/>
                <w:sz w:val="22"/>
              </w:rPr>
            </w:pPr>
          </w:p>
        </w:tc>
        <w:tc>
          <w:tcPr>
            <w:tcW w:w="4508" w:type="dxa"/>
          </w:tcPr>
          <w:p w14:paraId="538CB8D4" w14:textId="77777777" w:rsidR="003B1E56" w:rsidRPr="001C2ED0" w:rsidRDefault="003B1E56" w:rsidP="003B1E56">
            <w:pPr>
              <w:jc w:val="both"/>
              <w:rPr>
                <w:rFonts w:asciiTheme="minorHAnsi" w:hAnsiTheme="minorHAnsi" w:cstheme="minorHAnsi"/>
                <w:sz w:val="22"/>
              </w:rPr>
            </w:pPr>
          </w:p>
        </w:tc>
      </w:tr>
      <w:tr w:rsidR="003B1E56" w:rsidRPr="005648EB" w14:paraId="72D6C97D" w14:textId="77777777" w:rsidTr="0025113D">
        <w:tc>
          <w:tcPr>
            <w:tcW w:w="4508" w:type="dxa"/>
          </w:tcPr>
          <w:p w14:paraId="5D991356" w14:textId="2A0B2436" w:rsidR="003B1E56" w:rsidRPr="001C2ED0" w:rsidRDefault="003B1E56" w:rsidP="003B1E56">
            <w:pPr>
              <w:jc w:val="both"/>
              <w:rPr>
                <w:rFonts w:asciiTheme="minorHAnsi" w:hAnsiTheme="minorHAnsi" w:cstheme="minorHAnsi"/>
                <w:sz w:val="22"/>
                <w:lang w:val="fr-BE"/>
              </w:rPr>
            </w:pPr>
            <w:r w:rsidRPr="001C2ED0">
              <w:rPr>
                <w:rFonts w:asciiTheme="minorHAnsi" w:hAnsiTheme="minorHAnsi" w:cstheme="minorHAnsi"/>
                <w:sz w:val="22"/>
                <w:lang w:val="fr-BE"/>
              </w:rPr>
              <w:t>L’alinéa 1er n’est applicable pour ce qui concerne les articles 126, 126/1, 126/2 et 127 et leurs arrêtés d’exécution que pour autant que l’Institut soit chargé de sanctionner l’opérateur après la concertation avec le procureur du Roi visée à l’article 21/1.</w:t>
            </w:r>
          </w:p>
        </w:tc>
        <w:tc>
          <w:tcPr>
            <w:tcW w:w="4508" w:type="dxa"/>
          </w:tcPr>
          <w:p w14:paraId="5487A521" w14:textId="0879011D" w:rsidR="003B1E56" w:rsidRPr="001C2ED0" w:rsidRDefault="003B1E56" w:rsidP="003B1E56">
            <w:pPr>
              <w:jc w:val="both"/>
              <w:rPr>
                <w:rFonts w:asciiTheme="minorHAnsi" w:hAnsiTheme="minorHAnsi" w:cstheme="minorHAnsi"/>
                <w:sz w:val="22"/>
              </w:rPr>
            </w:pPr>
            <w:r w:rsidRPr="001C2ED0">
              <w:rPr>
                <w:rFonts w:asciiTheme="minorHAnsi" w:hAnsiTheme="minorHAnsi" w:cstheme="minorHAnsi"/>
                <w:sz w:val="22"/>
              </w:rPr>
              <w:t>Het eerste lid is wat betreft de artikelen 126, 126/1, 126/2 en 127 en de uitvoeringsbesluiten ervan slechts van toepassing voor zover het Instituut na het in artikel 21/1 bedoelde overleg met de procureur des Konings, ermee belast wordt de operator te sanctioneren.</w:t>
            </w:r>
          </w:p>
        </w:tc>
      </w:tr>
      <w:tr w:rsidR="003B1E56" w:rsidRPr="005648EB" w14:paraId="5BBAF0A9" w14:textId="77777777" w:rsidTr="0025113D">
        <w:tc>
          <w:tcPr>
            <w:tcW w:w="4508" w:type="dxa"/>
          </w:tcPr>
          <w:p w14:paraId="18045DE2" w14:textId="77777777" w:rsidR="003B1E56" w:rsidRPr="001C2ED0" w:rsidRDefault="003B1E56" w:rsidP="003B1E56">
            <w:pPr>
              <w:jc w:val="both"/>
              <w:rPr>
                <w:rFonts w:asciiTheme="minorHAnsi" w:hAnsiTheme="minorHAnsi" w:cstheme="minorHAnsi"/>
                <w:sz w:val="22"/>
              </w:rPr>
            </w:pPr>
          </w:p>
        </w:tc>
        <w:tc>
          <w:tcPr>
            <w:tcW w:w="4508" w:type="dxa"/>
          </w:tcPr>
          <w:p w14:paraId="7A925B06" w14:textId="77777777" w:rsidR="003B1E56" w:rsidRPr="001C2ED0" w:rsidRDefault="003B1E56" w:rsidP="003B1E56">
            <w:pPr>
              <w:jc w:val="both"/>
              <w:rPr>
                <w:rFonts w:asciiTheme="minorHAnsi" w:hAnsiTheme="minorHAnsi" w:cstheme="minorHAnsi"/>
                <w:sz w:val="22"/>
              </w:rPr>
            </w:pPr>
          </w:p>
        </w:tc>
      </w:tr>
      <w:tr w:rsidR="003B1E56" w:rsidRPr="005648EB" w14:paraId="3886D9BE" w14:textId="77777777" w:rsidTr="0025113D">
        <w:tc>
          <w:tcPr>
            <w:tcW w:w="4508" w:type="dxa"/>
          </w:tcPr>
          <w:p w14:paraId="2DAF6A6C" w14:textId="252C72AE" w:rsidR="003B1E56" w:rsidRPr="001C2ED0" w:rsidRDefault="003B1E56" w:rsidP="003B1E56">
            <w:pPr>
              <w:jc w:val="both"/>
              <w:rPr>
                <w:rFonts w:asciiTheme="minorHAnsi" w:hAnsiTheme="minorHAnsi" w:cstheme="minorHAnsi"/>
                <w:sz w:val="22"/>
                <w:lang w:val="fr-BE"/>
              </w:rPr>
            </w:pPr>
            <w:r w:rsidRPr="001C2ED0">
              <w:rPr>
                <w:rFonts w:asciiTheme="minorHAnsi" w:hAnsiTheme="minorHAnsi" w:cstheme="minorHAnsi"/>
                <w:sz w:val="22"/>
                <w:lang w:val="fr-BE"/>
              </w:rPr>
              <w:t xml:space="preserve">La demande adressée à l’opérateur précise les noms des membres du personnel de l’Institut qui peuvent consulter cette base de données. </w:t>
            </w:r>
          </w:p>
        </w:tc>
        <w:tc>
          <w:tcPr>
            <w:tcW w:w="4508" w:type="dxa"/>
          </w:tcPr>
          <w:p w14:paraId="3D9281B5" w14:textId="35383914" w:rsidR="003B1E56" w:rsidRPr="001C2ED0" w:rsidRDefault="003B1E56" w:rsidP="003B1E56">
            <w:pPr>
              <w:jc w:val="both"/>
              <w:rPr>
                <w:rFonts w:asciiTheme="minorHAnsi" w:hAnsiTheme="minorHAnsi" w:cstheme="minorHAnsi"/>
                <w:sz w:val="22"/>
              </w:rPr>
            </w:pPr>
            <w:r w:rsidRPr="001C2ED0">
              <w:rPr>
                <w:rFonts w:asciiTheme="minorHAnsi" w:hAnsiTheme="minorHAnsi" w:cstheme="minorHAnsi"/>
                <w:sz w:val="22"/>
              </w:rPr>
              <w:t>Het aan de operator gerichte verzoek vermeldt nauwkeurig de naam van de personeelsleden van het Instituut die deze databank mogen raadplegen.</w:t>
            </w:r>
          </w:p>
        </w:tc>
      </w:tr>
      <w:tr w:rsidR="003B1E56" w:rsidRPr="005648EB" w14:paraId="52435516" w14:textId="77777777" w:rsidTr="0025113D">
        <w:tc>
          <w:tcPr>
            <w:tcW w:w="4508" w:type="dxa"/>
          </w:tcPr>
          <w:p w14:paraId="285C1176" w14:textId="77777777" w:rsidR="003B1E56" w:rsidRPr="001C2ED0" w:rsidRDefault="003B1E56" w:rsidP="003B1E56">
            <w:pPr>
              <w:jc w:val="both"/>
              <w:rPr>
                <w:rFonts w:asciiTheme="minorHAnsi" w:hAnsiTheme="minorHAnsi" w:cstheme="minorHAnsi"/>
                <w:sz w:val="22"/>
              </w:rPr>
            </w:pPr>
          </w:p>
        </w:tc>
        <w:tc>
          <w:tcPr>
            <w:tcW w:w="4508" w:type="dxa"/>
          </w:tcPr>
          <w:p w14:paraId="6F16A19F" w14:textId="77777777" w:rsidR="003B1E56" w:rsidRPr="001C2ED0" w:rsidRDefault="003B1E56" w:rsidP="003B1E56">
            <w:pPr>
              <w:jc w:val="both"/>
              <w:rPr>
                <w:rFonts w:asciiTheme="minorHAnsi" w:hAnsiTheme="minorHAnsi" w:cstheme="minorHAnsi"/>
                <w:sz w:val="22"/>
              </w:rPr>
            </w:pPr>
          </w:p>
        </w:tc>
      </w:tr>
      <w:tr w:rsidR="003B1E56" w:rsidRPr="005648EB" w14:paraId="2BCC300C" w14:textId="77777777" w:rsidTr="0025113D">
        <w:tc>
          <w:tcPr>
            <w:tcW w:w="4508" w:type="dxa"/>
          </w:tcPr>
          <w:p w14:paraId="6A45D781" w14:textId="48F29320" w:rsidR="003B1E56" w:rsidRPr="001C2ED0" w:rsidRDefault="003B1E56" w:rsidP="003B1E56">
            <w:pPr>
              <w:jc w:val="both"/>
              <w:rPr>
                <w:rFonts w:asciiTheme="minorHAnsi" w:hAnsiTheme="minorHAnsi" w:cstheme="minorHAnsi"/>
                <w:sz w:val="22"/>
                <w:lang w:val="fr-BE"/>
              </w:rPr>
            </w:pPr>
            <w:r w:rsidRPr="001C2ED0">
              <w:rPr>
                <w:rFonts w:asciiTheme="minorHAnsi" w:hAnsiTheme="minorHAnsi" w:cstheme="minorHAnsi"/>
                <w:sz w:val="22"/>
                <w:lang w:val="fr-BE"/>
              </w:rPr>
              <w:t>Ces membres du personnel ne peuvent prendre une copie des données et documents consultés dans le cadre de l’alinéa 1</w:t>
            </w:r>
            <w:r w:rsidRPr="001C2ED0">
              <w:rPr>
                <w:rFonts w:asciiTheme="minorHAnsi" w:hAnsiTheme="minorHAnsi" w:cstheme="minorHAnsi"/>
                <w:sz w:val="22"/>
                <w:vertAlign w:val="superscript"/>
                <w:lang w:val="fr-BE"/>
              </w:rPr>
              <w:t>er</w:t>
            </w:r>
            <w:r w:rsidRPr="001C2ED0">
              <w:rPr>
                <w:rFonts w:asciiTheme="minorHAnsi" w:hAnsiTheme="minorHAnsi" w:cstheme="minorHAnsi"/>
                <w:sz w:val="22"/>
                <w:lang w:val="fr-BE"/>
              </w:rPr>
              <w:t xml:space="preserve"> que dans le but de constater des manquements commis par l’opérateur.</w:t>
            </w:r>
          </w:p>
        </w:tc>
        <w:tc>
          <w:tcPr>
            <w:tcW w:w="4508" w:type="dxa"/>
          </w:tcPr>
          <w:p w14:paraId="14696ECB" w14:textId="1D030AD1" w:rsidR="003B1E56" w:rsidRPr="001C2ED0" w:rsidRDefault="003B1E56" w:rsidP="003B1E56">
            <w:pPr>
              <w:jc w:val="both"/>
              <w:rPr>
                <w:rFonts w:asciiTheme="minorHAnsi" w:hAnsiTheme="minorHAnsi" w:cstheme="minorHAnsi"/>
                <w:sz w:val="22"/>
              </w:rPr>
            </w:pPr>
            <w:r w:rsidRPr="001C2ED0">
              <w:rPr>
                <w:rFonts w:asciiTheme="minorHAnsi" w:hAnsiTheme="minorHAnsi" w:cstheme="minorHAnsi"/>
                <w:sz w:val="22"/>
              </w:rPr>
              <w:t>Deze personeelsleden mogen enkel om inbreuken gepleegd door de operator vast te stellen, een kopie nemen van de gegevens en documenten die worden geraadpleegd in het kader van het eerste lid.</w:t>
            </w:r>
          </w:p>
        </w:tc>
      </w:tr>
      <w:tr w:rsidR="003B1E56" w:rsidRPr="005648EB" w14:paraId="6871564D" w14:textId="77777777" w:rsidTr="0025113D">
        <w:tc>
          <w:tcPr>
            <w:tcW w:w="4508" w:type="dxa"/>
          </w:tcPr>
          <w:p w14:paraId="535C0F14" w14:textId="77777777" w:rsidR="003B1E56" w:rsidRPr="001C2ED0" w:rsidRDefault="003B1E56" w:rsidP="003B1E56">
            <w:pPr>
              <w:jc w:val="both"/>
              <w:rPr>
                <w:rFonts w:asciiTheme="minorHAnsi" w:hAnsiTheme="minorHAnsi" w:cstheme="minorHAnsi"/>
                <w:sz w:val="22"/>
              </w:rPr>
            </w:pPr>
          </w:p>
        </w:tc>
        <w:tc>
          <w:tcPr>
            <w:tcW w:w="4508" w:type="dxa"/>
          </w:tcPr>
          <w:p w14:paraId="0DBB607D" w14:textId="77777777" w:rsidR="003B1E56" w:rsidRPr="001C2ED0" w:rsidRDefault="003B1E56" w:rsidP="003B1E56">
            <w:pPr>
              <w:jc w:val="both"/>
              <w:rPr>
                <w:rFonts w:asciiTheme="minorHAnsi" w:hAnsiTheme="minorHAnsi" w:cstheme="minorHAnsi"/>
                <w:sz w:val="22"/>
              </w:rPr>
            </w:pPr>
          </w:p>
        </w:tc>
      </w:tr>
      <w:tr w:rsidR="003B1E56" w:rsidRPr="005648EB" w14:paraId="55A1221B" w14:textId="77777777" w:rsidTr="0025113D">
        <w:tc>
          <w:tcPr>
            <w:tcW w:w="4508" w:type="dxa"/>
          </w:tcPr>
          <w:p w14:paraId="5F08BF55" w14:textId="4756DF54" w:rsidR="003B1E56" w:rsidRPr="001C2ED0" w:rsidRDefault="003B1E56" w:rsidP="003B1E56">
            <w:pPr>
              <w:jc w:val="both"/>
              <w:rPr>
                <w:rFonts w:asciiTheme="minorHAnsi" w:hAnsiTheme="minorHAnsi" w:cstheme="minorHAnsi"/>
                <w:sz w:val="22"/>
                <w:lang w:val="fr-BE"/>
              </w:rPr>
            </w:pPr>
            <w:r w:rsidRPr="001C2ED0">
              <w:rPr>
                <w:rFonts w:asciiTheme="minorHAnsi" w:hAnsiTheme="minorHAnsi" w:cstheme="minorHAnsi"/>
                <w:b/>
                <w:bCs/>
                <w:sz w:val="22"/>
                <w:lang w:val="fr-BE"/>
              </w:rPr>
              <w:t>§ 4.</w:t>
            </w:r>
            <w:r w:rsidRPr="001C2ED0">
              <w:rPr>
                <w:rFonts w:asciiTheme="minorHAnsi" w:hAnsiTheme="minorHAnsi" w:cstheme="minorHAnsi"/>
                <w:sz w:val="22"/>
                <w:lang w:val="fr-BE"/>
              </w:rPr>
              <w:t xml:space="preserve"> Pour l’application des paragraphes 1 à 3, la motivation de la demande adressée à l’opérateur ou à l’Autorité de protection des données doit être développée au regard des circonstances.  </w:t>
            </w:r>
          </w:p>
        </w:tc>
        <w:tc>
          <w:tcPr>
            <w:tcW w:w="4508" w:type="dxa"/>
          </w:tcPr>
          <w:p w14:paraId="6DA10747" w14:textId="6AC273BA" w:rsidR="003B1E56" w:rsidRPr="001C2ED0" w:rsidRDefault="003B1E56" w:rsidP="003B1E56">
            <w:pPr>
              <w:jc w:val="both"/>
              <w:rPr>
                <w:rFonts w:asciiTheme="minorHAnsi" w:hAnsiTheme="minorHAnsi" w:cstheme="minorHAnsi"/>
                <w:sz w:val="22"/>
              </w:rPr>
            </w:pPr>
            <w:r w:rsidRPr="001C2ED0">
              <w:rPr>
                <w:rFonts w:asciiTheme="minorHAnsi" w:hAnsiTheme="minorHAnsi" w:cstheme="minorHAnsi"/>
                <w:b/>
                <w:bCs/>
                <w:sz w:val="22"/>
              </w:rPr>
              <w:t>§ 4.</w:t>
            </w:r>
            <w:r w:rsidRPr="001C2ED0">
              <w:rPr>
                <w:rFonts w:asciiTheme="minorHAnsi" w:hAnsiTheme="minorHAnsi" w:cstheme="minorHAnsi"/>
                <w:sz w:val="22"/>
              </w:rPr>
              <w:t xml:space="preserve"> Voor de toepassing van de paragrafen 1 tot 3, moet de motivering van het verzoek gericht aan de operator of aan de Gegevensbeschermingsautoriteit uitgewerkt zijn in het licht van de omstandigheden.</w:t>
            </w:r>
          </w:p>
        </w:tc>
      </w:tr>
      <w:tr w:rsidR="003B1E56" w:rsidRPr="005648EB" w14:paraId="14559E8B" w14:textId="77777777" w:rsidTr="0025113D">
        <w:tc>
          <w:tcPr>
            <w:tcW w:w="4508" w:type="dxa"/>
          </w:tcPr>
          <w:p w14:paraId="5637E598" w14:textId="77777777" w:rsidR="003B1E56" w:rsidRPr="001C2ED0" w:rsidRDefault="003B1E56" w:rsidP="003B1E56">
            <w:pPr>
              <w:jc w:val="both"/>
              <w:rPr>
                <w:rFonts w:asciiTheme="minorHAnsi" w:hAnsiTheme="minorHAnsi" w:cstheme="minorHAnsi"/>
                <w:sz w:val="22"/>
              </w:rPr>
            </w:pPr>
          </w:p>
        </w:tc>
        <w:tc>
          <w:tcPr>
            <w:tcW w:w="4508" w:type="dxa"/>
          </w:tcPr>
          <w:p w14:paraId="396FE29E" w14:textId="77777777" w:rsidR="003B1E56" w:rsidRPr="001C2ED0" w:rsidRDefault="003B1E56" w:rsidP="003B1E56">
            <w:pPr>
              <w:jc w:val="both"/>
              <w:rPr>
                <w:rFonts w:asciiTheme="minorHAnsi" w:hAnsiTheme="minorHAnsi" w:cstheme="minorHAnsi"/>
                <w:sz w:val="22"/>
              </w:rPr>
            </w:pPr>
          </w:p>
        </w:tc>
      </w:tr>
      <w:tr w:rsidR="003B1E56" w:rsidRPr="005648EB" w14:paraId="6C5CC27D" w14:textId="77777777" w:rsidTr="0025113D">
        <w:tc>
          <w:tcPr>
            <w:tcW w:w="4508" w:type="dxa"/>
          </w:tcPr>
          <w:p w14:paraId="33AFF77D" w14:textId="40DE9B16" w:rsidR="003B1E56" w:rsidRPr="001C2ED0" w:rsidRDefault="003B1E56" w:rsidP="003B1E56">
            <w:pPr>
              <w:jc w:val="both"/>
              <w:rPr>
                <w:rFonts w:asciiTheme="minorHAnsi" w:hAnsiTheme="minorHAnsi" w:cstheme="minorHAnsi"/>
                <w:sz w:val="22"/>
                <w:lang w:val="fr-BE"/>
              </w:rPr>
            </w:pPr>
            <w:r w:rsidRPr="001C2ED0">
              <w:rPr>
                <w:rFonts w:asciiTheme="minorHAnsi" w:hAnsiTheme="minorHAnsi" w:cstheme="minorHAnsi"/>
                <w:sz w:val="22"/>
                <w:lang w:val="fr-BE"/>
              </w:rPr>
              <w:t>Pour l’application des paragraphes 1 et 2, l’Institut doit motiver :</w:t>
            </w:r>
          </w:p>
        </w:tc>
        <w:tc>
          <w:tcPr>
            <w:tcW w:w="4508" w:type="dxa"/>
          </w:tcPr>
          <w:p w14:paraId="00B64AB5" w14:textId="36F05FC7" w:rsidR="003B1E56" w:rsidRPr="001C2ED0" w:rsidRDefault="003B1E56" w:rsidP="003B1E56">
            <w:pPr>
              <w:jc w:val="both"/>
              <w:rPr>
                <w:rFonts w:asciiTheme="minorHAnsi" w:hAnsiTheme="minorHAnsi" w:cstheme="minorHAnsi"/>
                <w:sz w:val="22"/>
              </w:rPr>
            </w:pPr>
            <w:r w:rsidRPr="001C2ED0">
              <w:rPr>
                <w:rFonts w:asciiTheme="minorHAnsi" w:hAnsiTheme="minorHAnsi" w:cstheme="minorHAnsi"/>
                <w:sz w:val="22"/>
              </w:rPr>
              <w:t>Voor de toepassing van de paragrafen 1 en 2, moet het Instituut:</w:t>
            </w:r>
          </w:p>
        </w:tc>
      </w:tr>
      <w:tr w:rsidR="003B1E56" w:rsidRPr="005648EB" w14:paraId="4EB4DD99" w14:textId="77777777" w:rsidTr="0025113D">
        <w:tc>
          <w:tcPr>
            <w:tcW w:w="4508" w:type="dxa"/>
          </w:tcPr>
          <w:p w14:paraId="3D9E3337" w14:textId="77777777" w:rsidR="003B1E56" w:rsidRPr="001C2ED0" w:rsidRDefault="003B1E56" w:rsidP="003B1E56">
            <w:pPr>
              <w:jc w:val="both"/>
              <w:rPr>
                <w:rFonts w:asciiTheme="minorHAnsi" w:hAnsiTheme="minorHAnsi" w:cstheme="minorHAnsi"/>
                <w:sz w:val="22"/>
              </w:rPr>
            </w:pPr>
          </w:p>
        </w:tc>
        <w:tc>
          <w:tcPr>
            <w:tcW w:w="4508" w:type="dxa"/>
          </w:tcPr>
          <w:p w14:paraId="791FA975" w14:textId="77777777" w:rsidR="003B1E56" w:rsidRPr="001C2ED0" w:rsidRDefault="003B1E56" w:rsidP="003B1E56">
            <w:pPr>
              <w:jc w:val="both"/>
              <w:rPr>
                <w:rFonts w:asciiTheme="minorHAnsi" w:hAnsiTheme="minorHAnsi" w:cstheme="minorHAnsi"/>
                <w:sz w:val="22"/>
              </w:rPr>
            </w:pPr>
          </w:p>
        </w:tc>
      </w:tr>
      <w:tr w:rsidR="003B1E56" w:rsidRPr="005648EB" w14:paraId="5193A08E" w14:textId="77777777" w:rsidTr="0025113D">
        <w:tc>
          <w:tcPr>
            <w:tcW w:w="4508" w:type="dxa"/>
          </w:tcPr>
          <w:p w14:paraId="5C82EC8A" w14:textId="3E972564" w:rsidR="003B1E56" w:rsidRPr="001C2ED0" w:rsidRDefault="003B1E56" w:rsidP="003B1E56">
            <w:pPr>
              <w:jc w:val="both"/>
              <w:rPr>
                <w:rFonts w:asciiTheme="minorHAnsi" w:hAnsiTheme="minorHAnsi" w:cstheme="minorHAnsi"/>
                <w:sz w:val="22"/>
                <w:lang w:val="fr-BE"/>
              </w:rPr>
            </w:pPr>
            <w:r w:rsidRPr="001C2ED0">
              <w:rPr>
                <w:rFonts w:asciiTheme="minorHAnsi" w:hAnsiTheme="minorHAnsi" w:cstheme="minorHAnsi"/>
                <w:sz w:val="22"/>
                <w:lang w:val="fr-BE"/>
              </w:rPr>
              <w:t>1° le lien entre les données demandées et la mission attribuée à l’Institut ;</w:t>
            </w:r>
          </w:p>
        </w:tc>
        <w:tc>
          <w:tcPr>
            <w:tcW w:w="4508" w:type="dxa"/>
          </w:tcPr>
          <w:p w14:paraId="25B95236" w14:textId="47824DD6" w:rsidR="003B1E56" w:rsidRPr="001C2ED0" w:rsidRDefault="003B1E56" w:rsidP="003B1E56">
            <w:pPr>
              <w:jc w:val="both"/>
              <w:rPr>
                <w:rFonts w:asciiTheme="minorHAnsi" w:hAnsiTheme="minorHAnsi" w:cstheme="minorHAnsi"/>
                <w:sz w:val="22"/>
              </w:rPr>
            </w:pPr>
            <w:r w:rsidRPr="001C2ED0">
              <w:rPr>
                <w:rFonts w:asciiTheme="minorHAnsi" w:hAnsiTheme="minorHAnsi" w:cstheme="minorHAnsi"/>
                <w:sz w:val="22"/>
              </w:rPr>
              <w:t>1° het verband motiveren tussen de gevraagde gegevens en de aan het Instituut toegewezen opdracht;</w:t>
            </w:r>
          </w:p>
        </w:tc>
      </w:tr>
      <w:tr w:rsidR="003B1E56" w:rsidRPr="005648EB" w14:paraId="35EDD418" w14:textId="77777777" w:rsidTr="0025113D">
        <w:tc>
          <w:tcPr>
            <w:tcW w:w="4508" w:type="dxa"/>
          </w:tcPr>
          <w:p w14:paraId="2783579B" w14:textId="77777777" w:rsidR="003B1E56" w:rsidRPr="001C2ED0" w:rsidRDefault="003B1E56" w:rsidP="003B1E56">
            <w:pPr>
              <w:jc w:val="both"/>
              <w:rPr>
                <w:rFonts w:asciiTheme="minorHAnsi" w:hAnsiTheme="minorHAnsi" w:cstheme="minorHAnsi"/>
                <w:sz w:val="22"/>
              </w:rPr>
            </w:pPr>
          </w:p>
        </w:tc>
        <w:tc>
          <w:tcPr>
            <w:tcW w:w="4508" w:type="dxa"/>
          </w:tcPr>
          <w:p w14:paraId="74C49DFC" w14:textId="77777777" w:rsidR="003B1E56" w:rsidRPr="001C2ED0" w:rsidRDefault="003B1E56" w:rsidP="003B1E56">
            <w:pPr>
              <w:jc w:val="both"/>
              <w:rPr>
                <w:rFonts w:asciiTheme="minorHAnsi" w:hAnsiTheme="minorHAnsi" w:cstheme="minorHAnsi"/>
                <w:sz w:val="22"/>
              </w:rPr>
            </w:pPr>
          </w:p>
        </w:tc>
      </w:tr>
      <w:tr w:rsidR="003B1E56" w:rsidRPr="005648EB" w14:paraId="1F85591D" w14:textId="77777777" w:rsidTr="0025113D">
        <w:tc>
          <w:tcPr>
            <w:tcW w:w="4508" w:type="dxa"/>
          </w:tcPr>
          <w:p w14:paraId="7FEE66D2" w14:textId="6CF0E2C8" w:rsidR="003B1E56" w:rsidRPr="001C2ED0" w:rsidRDefault="003B1E56" w:rsidP="003B1E56">
            <w:pPr>
              <w:jc w:val="both"/>
              <w:rPr>
                <w:rFonts w:asciiTheme="minorHAnsi" w:hAnsiTheme="minorHAnsi" w:cstheme="minorHAnsi"/>
                <w:sz w:val="22"/>
                <w:lang w:val="fr-BE"/>
              </w:rPr>
            </w:pPr>
            <w:r w:rsidRPr="001C2ED0">
              <w:rPr>
                <w:rFonts w:asciiTheme="minorHAnsi" w:hAnsiTheme="minorHAnsi" w:cstheme="minorHAnsi"/>
                <w:sz w:val="22"/>
                <w:lang w:val="fr-BE"/>
              </w:rPr>
              <w:t xml:space="preserve">2° le caractère strictement nécessaire des données demandées dans le cadre de cette mission. </w:t>
            </w:r>
          </w:p>
        </w:tc>
        <w:tc>
          <w:tcPr>
            <w:tcW w:w="4508" w:type="dxa"/>
          </w:tcPr>
          <w:p w14:paraId="77EB78C7" w14:textId="7038FCE7" w:rsidR="003B1E56" w:rsidRPr="001C2ED0" w:rsidRDefault="003B1E56" w:rsidP="003B1E56">
            <w:pPr>
              <w:jc w:val="both"/>
              <w:rPr>
                <w:rFonts w:asciiTheme="minorHAnsi" w:hAnsiTheme="minorHAnsi" w:cstheme="minorHAnsi"/>
                <w:sz w:val="22"/>
              </w:rPr>
            </w:pPr>
            <w:r w:rsidRPr="001C2ED0">
              <w:rPr>
                <w:rFonts w:asciiTheme="minorHAnsi" w:hAnsiTheme="minorHAnsi" w:cstheme="minorHAnsi"/>
                <w:sz w:val="22"/>
              </w:rPr>
              <w:t xml:space="preserve">2° motiveren dat het niet meer gegevens vraagt dan die welke strikt nodig zijn in het kader van die opdracht. </w:t>
            </w:r>
          </w:p>
        </w:tc>
      </w:tr>
      <w:tr w:rsidR="003B1E56" w:rsidRPr="005648EB" w14:paraId="115B05A8" w14:textId="77777777" w:rsidTr="0025113D">
        <w:tc>
          <w:tcPr>
            <w:tcW w:w="4508" w:type="dxa"/>
          </w:tcPr>
          <w:p w14:paraId="5AC642EE" w14:textId="77777777" w:rsidR="003B1E56" w:rsidRPr="001C2ED0" w:rsidRDefault="003B1E56" w:rsidP="003B1E56">
            <w:pPr>
              <w:jc w:val="both"/>
              <w:rPr>
                <w:rFonts w:asciiTheme="minorHAnsi" w:hAnsiTheme="minorHAnsi" w:cstheme="minorHAnsi"/>
                <w:sz w:val="22"/>
              </w:rPr>
            </w:pPr>
          </w:p>
        </w:tc>
        <w:tc>
          <w:tcPr>
            <w:tcW w:w="4508" w:type="dxa"/>
          </w:tcPr>
          <w:p w14:paraId="03027BFB" w14:textId="77777777" w:rsidR="003B1E56" w:rsidRPr="001C2ED0" w:rsidRDefault="003B1E56" w:rsidP="003B1E56">
            <w:pPr>
              <w:jc w:val="both"/>
              <w:rPr>
                <w:rFonts w:asciiTheme="minorHAnsi" w:hAnsiTheme="minorHAnsi" w:cstheme="minorHAnsi"/>
                <w:sz w:val="22"/>
              </w:rPr>
            </w:pPr>
          </w:p>
        </w:tc>
      </w:tr>
      <w:tr w:rsidR="003B1E56" w:rsidRPr="005648EB" w14:paraId="7446CA6B" w14:textId="77777777" w:rsidTr="0025113D">
        <w:tc>
          <w:tcPr>
            <w:tcW w:w="4508" w:type="dxa"/>
          </w:tcPr>
          <w:p w14:paraId="6BF4BDB8" w14:textId="554B19A3" w:rsidR="003B1E56" w:rsidRPr="001C2ED0" w:rsidRDefault="003B1E56" w:rsidP="003B1E56">
            <w:pPr>
              <w:jc w:val="both"/>
              <w:rPr>
                <w:rFonts w:asciiTheme="minorHAnsi" w:hAnsiTheme="minorHAnsi" w:cstheme="minorHAnsi"/>
                <w:sz w:val="22"/>
                <w:lang w:val="fr-BE"/>
              </w:rPr>
            </w:pPr>
            <w:r w:rsidRPr="001C2ED0">
              <w:rPr>
                <w:rFonts w:asciiTheme="minorHAnsi" w:hAnsiTheme="minorHAnsi" w:cstheme="minorHAnsi"/>
                <w:sz w:val="22"/>
                <w:lang w:val="fr-BE"/>
              </w:rPr>
              <w:t>Sont consignées dans un registre tenu auprès de l’Institut :</w:t>
            </w:r>
          </w:p>
        </w:tc>
        <w:tc>
          <w:tcPr>
            <w:tcW w:w="4508" w:type="dxa"/>
          </w:tcPr>
          <w:p w14:paraId="271F3BD3" w14:textId="3D235576" w:rsidR="003B1E56" w:rsidRPr="001C2ED0" w:rsidRDefault="003B1E56" w:rsidP="003B1E56">
            <w:pPr>
              <w:jc w:val="both"/>
              <w:rPr>
                <w:rFonts w:asciiTheme="minorHAnsi" w:hAnsiTheme="minorHAnsi" w:cstheme="minorHAnsi"/>
                <w:sz w:val="22"/>
              </w:rPr>
            </w:pPr>
            <w:r w:rsidRPr="001C2ED0">
              <w:rPr>
                <w:rFonts w:asciiTheme="minorHAnsi" w:hAnsiTheme="minorHAnsi" w:cstheme="minorHAnsi"/>
                <w:sz w:val="22"/>
              </w:rPr>
              <w:t xml:space="preserve">Moeten worden opgenomen in een inventaris die bij het Instituut wordt bijgehouden: </w:t>
            </w:r>
          </w:p>
        </w:tc>
      </w:tr>
      <w:tr w:rsidR="003B1E56" w:rsidRPr="005648EB" w14:paraId="35A06221" w14:textId="77777777" w:rsidTr="0025113D">
        <w:tc>
          <w:tcPr>
            <w:tcW w:w="4508" w:type="dxa"/>
          </w:tcPr>
          <w:p w14:paraId="5AD0509F" w14:textId="77777777" w:rsidR="003B1E56" w:rsidRPr="001C2ED0" w:rsidRDefault="003B1E56" w:rsidP="003B1E56">
            <w:pPr>
              <w:jc w:val="both"/>
              <w:rPr>
                <w:rFonts w:asciiTheme="minorHAnsi" w:hAnsiTheme="minorHAnsi" w:cstheme="minorHAnsi"/>
                <w:sz w:val="22"/>
              </w:rPr>
            </w:pPr>
          </w:p>
        </w:tc>
        <w:tc>
          <w:tcPr>
            <w:tcW w:w="4508" w:type="dxa"/>
          </w:tcPr>
          <w:p w14:paraId="04B1D761" w14:textId="77777777" w:rsidR="003B1E56" w:rsidRPr="001C2ED0" w:rsidRDefault="003B1E56" w:rsidP="003B1E56">
            <w:pPr>
              <w:jc w:val="both"/>
              <w:rPr>
                <w:rFonts w:asciiTheme="minorHAnsi" w:hAnsiTheme="minorHAnsi" w:cstheme="minorHAnsi"/>
                <w:sz w:val="22"/>
              </w:rPr>
            </w:pPr>
          </w:p>
        </w:tc>
      </w:tr>
      <w:tr w:rsidR="003B1E56" w:rsidRPr="005648EB" w14:paraId="281FE16B" w14:textId="77777777" w:rsidTr="0025113D">
        <w:tc>
          <w:tcPr>
            <w:tcW w:w="4508" w:type="dxa"/>
          </w:tcPr>
          <w:p w14:paraId="511A765C" w14:textId="0F926224" w:rsidR="003B1E56" w:rsidRPr="001C2ED0" w:rsidRDefault="003B1E56" w:rsidP="003B1E56">
            <w:pPr>
              <w:jc w:val="both"/>
              <w:rPr>
                <w:rFonts w:asciiTheme="minorHAnsi" w:hAnsiTheme="minorHAnsi" w:cstheme="minorHAnsi"/>
                <w:sz w:val="22"/>
                <w:lang w:val="fr-BE"/>
              </w:rPr>
            </w:pPr>
            <w:r w:rsidRPr="001C2ED0">
              <w:rPr>
                <w:rFonts w:asciiTheme="minorHAnsi" w:hAnsiTheme="minorHAnsi" w:cstheme="minorHAnsi"/>
                <w:sz w:val="22"/>
                <w:lang w:val="fr-BE"/>
              </w:rPr>
              <w:t xml:space="preserve">1° les demandes adressées aux opérateurs et à l’Autorité de protection des données; </w:t>
            </w:r>
          </w:p>
        </w:tc>
        <w:tc>
          <w:tcPr>
            <w:tcW w:w="4508" w:type="dxa"/>
          </w:tcPr>
          <w:p w14:paraId="7F3B7C63" w14:textId="7DCBC37C" w:rsidR="003B1E56" w:rsidRPr="001C2ED0" w:rsidRDefault="003B1E56" w:rsidP="003B1E56">
            <w:pPr>
              <w:jc w:val="both"/>
              <w:rPr>
                <w:rFonts w:asciiTheme="minorHAnsi" w:hAnsiTheme="minorHAnsi" w:cstheme="minorHAnsi"/>
                <w:sz w:val="22"/>
              </w:rPr>
            </w:pPr>
            <w:r w:rsidRPr="001C2ED0">
              <w:rPr>
                <w:rFonts w:asciiTheme="minorHAnsi" w:hAnsiTheme="minorHAnsi" w:cstheme="minorHAnsi"/>
                <w:sz w:val="22"/>
              </w:rPr>
              <w:t>1° de verzoeken gericht aan de operatoren en aan de Gegevensbeschermingsautoriteit;</w:t>
            </w:r>
          </w:p>
        </w:tc>
      </w:tr>
      <w:tr w:rsidR="003B1E56" w:rsidRPr="005648EB" w14:paraId="423A864E" w14:textId="77777777" w:rsidTr="0025113D">
        <w:tc>
          <w:tcPr>
            <w:tcW w:w="4508" w:type="dxa"/>
          </w:tcPr>
          <w:p w14:paraId="6A179EA9" w14:textId="77777777" w:rsidR="003B1E56" w:rsidRPr="001C2ED0" w:rsidRDefault="003B1E56" w:rsidP="003B1E56">
            <w:pPr>
              <w:jc w:val="both"/>
              <w:rPr>
                <w:rFonts w:asciiTheme="minorHAnsi" w:hAnsiTheme="minorHAnsi" w:cstheme="minorHAnsi"/>
                <w:sz w:val="22"/>
              </w:rPr>
            </w:pPr>
          </w:p>
        </w:tc>
        <w:tc>
          <w:tcPr>
            <w:tcW w:w="4508" w:type="dxa"/>
          </w:tcPr>
          <w:p w14:paraId="272E9C9A" w14:textId="77777777" w:rsidR="003B1E56" w:rsidRPr="001C2ED0" w:rsidRDefault="003B1E56" w:rsidP="003B1E56">
            <w:pPr>
              <w:jc w:val="both"/>
              <w:rPr>
                <w:rFonts w:asciiTheme="minorHAnsi" w:hAnsiTheme="minorHAnsi" w:cstheme="minorHAnsi"/>
                <w:sz w:val="22"/>
              </w:rPr>
            </w:pPr>
          </w:p>
        </w:tc>
      </w:tr>
      <w:tr w:rsidR="003B1E56" w:rsidRPr="005648EB" w14:paraId="3CA0CFCF" w14:textId="77777777" w:rsidTr="0025113D">
        <w:tc>
          <w:tcPr>
            <w:tcW w:w="4508" w:type="dxa"/>
          </w:tcPr>
          <w:p w14:paraId="5A3F2751" w14:textId="0E81CADC" w:rsidR="003B1E56" w:rsidRPr="001C2ED0" w:rsidRDefault="003B1E56" w:rsidP="003B1E56">
            <w:pPr>
              <w:jc w:val="both"/>
              <w:rPr>
                <w:rFonts w:asciiTheme="minorHAnsi" w:hAnsiTheme="minorHAnsi" w:cstheme="minorHAnsi"/>
                <w:sz w:val="22"/>
                <w:lang w:val="fr-BE"/>
              </w:rPr>
            </w:pPr>
            <w:r w:rsidRPr="001C2ED0">
              <w:rPr>
                <w:rFonts w:asciiTheme="minorHAnsi" w:hAnsiTheme="minorHAnsi" w:cstheme="minorHAnsi"/>
                <w:sz w:val="22"/>
                <w:lang w:val="fr-BE"/>
              </w:rPr>
              <w:t>2° la motivation de la demande et la justification de l’urgence communiquées  à l’Autorité de protection des données conformément au paragraphe 2, alinéa 3 ;</w:t>
            </w:r>
          </w:p>
        </w:tc>
        <w:tc>
          <w:tcPr>
            <w:tcW w:w="4508" w:type="dxa"/>
          </w:tcPr>
          <w:p w14:paraId="43D4251E" w14:textId="24502467" w:rsidR="003B1E56" w:rsidRPr="001C2ED0" w:rsidRDefault="003B1E56" w:rsidP="003B1E56">
            <w:pPr>
              <w:jc w:val="both"/>
              <w:rPr>
                <w:rFonts w:asciiTheme="minorHAnsi" w:hAnsiTheme="minorHAnsi" w:cstheme="minorHAnsi"/>
                <w:sz w:val="22"/>
              </w:rPr>
            </w:pPr>
            <w:r w:rsidRPr="001C2ED0">
              <w:rPr>
                <w:rFonts w:asciiTheme="minorHAnsi" w:hAnsiTheme="minorHAnsi" w:cstheme="minorHAnsi"/>
                <w:sz w:val="22"/>
              </w:rPr>
              <w:t>2° de motivering van het verzoek en de rechtvaardiging van de hoogdringendheid die meegedeeld zijn aan de Gegevensbeschermingsautoriteit overeenkomstig paragraaf 2, derde lid;</w:t>
            </w:r>
          </w:p>
        </w:tc>
      </w:tr>
      <w:tr w:rsidR="003B1E56" w:rsidRPr="005648EB" w14:paraId="18569792" w14:textId="77777777" w:rsidTr="0025113D">
        <w:tc>
          <w:tcPr>
            <w:tcW w:w="4508" w:type="dxa"/>
          </w:tcPr>
          <w:p w14:paraId="50D934B7" w14:textId="77777777" w:rsidR="003B1E56" w:rsidRPr="001C2ED0" w:rsidRDefault="003B1E56" w:rsidP="003B1E56">
            <w:pPr>
              <w:jc w:val="both"/>
              <w:rPr>
                <w:rFonts w:asciiTheme="minorHAnsi" w:hAnsiTheme="minorHAnsi" w:cstheme="minorHAnsi"/>
                <w:sz w:val="22"/>
              </w:rPr>
            </w:pPr>
          </w:p>
        </w:tc>
        <w:tc>
          <w:tcPr>
            <w:tcW w:w="4508" w:type="dxa"/>
          </w:tcPr>
          <w:p w14:paraId="37C84046" w14:textId="77777777" w:rsidR="003B1E56" w:rsidRPr="001C2ED0" w:rsidRDefault="003B1E56" w:rsidP="003B1E56">
            <w:pPr>
              <w:jc w:val="both"/>
              <w:rPr>
                <w:rFonts w:asciiTheme="minorHAnsi" w:hAnsiTheme="minorHAnsi" w:cstheme="minorHAnsi"/>
                <w:sz w:val="22"/>
              </w:rPr>
            </w:pPr>
          </w:p>
        </w:tc>
      </w:tr>
      <w:tr w:rsidR="003B1E56" w:rsidRPr="005648EB" w14:paraId="6D1C58C2" w14:textId="77777777" w:rsidTr="0025113D">
        <w:tc>
          <w:tcPr>
            <w:tcW w:w="4508" w:type="dxa"/>
          </w:tcPr>
          <w:p w14:paraId="4D018338" w14:textId="31914C06" w:rsidR="003B1E56" w:rsidRPr="001C2ED0" w:rsidRDefault="003B1E56" w:rsidP="003B1E56">
            <w:pPr>
              <w:jc w:val="both"/>
              <w:rPr>
                <w:rFonts w:asciiTheme="minorHAnsi" w:hAnsiTheme="minorHAnsi" w:cstheme="minorHAnsi"/>
                <w:sz w:val="22"/>
                <w:lang w:val="fr-BE"/>
              </w:rPr>
            </w:pPr>
            <w:r w:rsidRPr="001C2ED0">
              <w:rPr>
                <w:rFonts w:asciiTheme="minorHAnsi" w:hAnsiTheme="minorHAnsi" w:cstheme="minorHAnsi"/>
                <w:sz w:val="22"/>
                <w:lang w:val="fr-BE"/>
              </w:rPr>
              <w:t xml:space="preserve">3° les autorisations données par l’Autorité de protection des données. </w:t>
            </w:r>
          </w:p>
        </w:tc>
        <w:tc>
          <w:tcPr>
            <w:tcW w:w="4508" w:type="dxa"/>
          </w:tcPr>
          <w:p w14:paraId="4E13EA9D" w14:textId="2E1E5C65" w:rsidR="003B1E56" w:rsidRPr="001C2ED0" w:rsidRDefault="003B1E56" w:rsidP="003B1E56">
            <w:pPr>
              <w:jc w:val="both"/>
              <w:rPr>
                <w:rFonts w:asciiTheme="minorHAnsi" w:hAnsiTheme="minorHAnsi" w:cstheme="minorHAnsi"/>
                <w:sz w:val="22"/>
              </w:rPr>
            </w:pPr>
            <w:r w:rsidRPr="001C2ED0">
              <w:rPr>
                <w:rFonts w:asciiTheme="minorHAnsi" w:hAnsiTheme="minorHAnsi" w:cstheme="minorHAnsi"/>
                <w:sz w:val="22"/>
              </w:rPr>
              <w:t>3° de toestemmingen verleend door de Gegevensbeschermingsautoriteit.</w:t>
            </w:r>
          </w:p>
        </w:tc>
      </w:tr>
      <w:tr w:rsidR="003B1E56" w:rsidRPr="005648EB" w14:paraId="665EBE8C" w14:textId="77777777" w:rsidTr="0025113D">
        <w:tc>
          <w:tcPr>
            <w:tcW w:w="4508" w:type="dxa"/>
          </w:tcPr>
          <w:p w14:paraId="7385EE81" w14:textId="77777777" w:rsidR="003B1E56" w:rsidRPr="00450454" w:rsidRDefault="003B1E56" w:rsidP="003B1E56">
            <w:pPr>
              <w:rPr>
                <w:rFonts w:asciiTheme="minorHAnsi" w:hAnsiTheme="minorHAnsi" w:cstheme="minorHAnsi"/>
                <w:sz w:val="22"/>
              </w:rPr>
            </w:pPr>
          </w:p>
        </w:tc>
        <w:tc>
          <w:tcPr>
            <w:tcW w:w="4508" w:type="dxa"/>
          </w:tcPr>
          <w:p w14:paraId="741BB795" w14:textId="77777777" w:rsidR="003B1E56" w:rsidRPr="00450454" w:rsidRDefault="003B1E56" w:rsidP="003B1E56">
            <w:pPr>
              <w:rPr>
                <w:rFonts w:asciiTheme="minorHAnsi" w:hAnsiTheme="minorHAnsi" w:cstheme="minorHAnsi"/>
                <w:sz w:val="22"/>
              </w:rPr>
            </w:pPr>
          </w:p>
        </w:tc>
      </w:tr>
      <w:tr w:rsidR="003B1E56" w:rsidRPr="005648EB" w14:paraId="25F84CCF" w14:textId="77777777" w:rsidTr="0025113D">
        <w:tc>
          <w:tcPr>
            <w:tcW w:w="4508" w:type="dxa"/>
          </w:tcPr>
          <w:p w14:paraId="6DD5A1A6" w14:textId="347147FB" w:rsidR="003B1E56" w:rsidRPr="005648EB" w:rsidRDefault="003B1E56" w:rsidP="003B1E56">
            <w:pPr>
              <w:jc w:val="center"/>
              <w:rPr>
                <w:rFonts w:asciiTheme="minorHAnsi" w:hAnsiTheme="minorHAnsi" w:cstheme="minorHAnsi"/>
                <w:sz w:val="22"/>
                <w:lang w:val="fr-BE"/>
              </w:rPr>
            </w:pPr>
            <w:r w:rsidRPr="007A377E">
              <w:rPr>
                <w:rFonts w:asciiTheme="minorHAnsi" w:hAnsiTheme="minorHAnsi" w:cstheme="minorHAnsi"/>
                <w:b/>
                <w:bCs/>
                <w:sz w:val="22"/>
                <w:lang w:eastAsia="fr-FR"/>
              </w:rPr>
              <w:t>JUSTIFICATION</w:t>
            </w:r>
          </w:p>
        </w:tc>
        <w:tc>
          <w:tcPr>
            <w:tcW w:w="4508" w:type="dxa"/>
          </w:tcPr>
          <w:p w14:paraId="37A73DBD" w14:textId="78E32F96" w:rsidR="003B1E56" w:rsidRPr="005648EB" w:rsidRDefault="003B1E56" w:rsidP="003B1E56">
            <w:pPr>
              <w:jc w:val="center"/>
              <w:rPr>
                <w:rFonts w:asciiTheme="minorHAnsi" w:hAnsiTheme="minorHAnsi" w:cstheme="minorHAnsi"/>
                <w:sz w:val="22"/>
                <w:lang w:val="fr-BE"/>
              </w:rPr>
            </w:pPr>
            <w:r w:rsidRPr="007A377E">
              <w:rPr>
                <w:rFonts w:asciiTheme="minorHAnsi" w:hAnsiTheme="minorHAnsi" w:cstheme="minorHAnsi"/>
                <w:b/>
                <w:bCs/>
                <w:sz w:val="22"/>
                <w:lang w:val="fr-BE" w:eastAsia="fr-FR"/>
              </w:rPr>
              <w:t>VERANTWOORDING</w:t>
            </w:r>
          </w:p>
        </w:tc>
      </w:tr>
      <w:tr w:rsidR="003B1E56" w:rsidRPr="005648EB" w14:paraId="22B73EB9" w14:textId="77777777" w:rsidTr="0025113D">
        <w:tc>
          <w:tcPr>
            <w:tcW w:w="4508" w:type="dxa"/>
          </w:tcPr>
          <w:p w14:paraId="6B25043C" w14:textId="77777777" w:rsidR="003B1E56" w:rsidRPr="005648EB" w:rsidRDefault="003B1E56" w:rsidP="003B1E56">
            <w:pPr>
              <w:rPr>
                <w:rFonts w:asciiTheme="minorHAnsi" w:hAnsiTheme="minorHAnsi" w:cstheme="minorHAnsi"/>
                <w:sz w:val="22"/>
                <w:lang w:val="fr-BE"/>
              </w:rPr>
            </w:pPr>
          </w:p>
        </w:tc>
        <w:tc>
          <w:tcPr>
            <w:tcW w:w="4508" w:type="dxa"/>
          </w:tcPr>
          <w:p w14:paraId="06205DB3" w14:textId="77777777" w:rsidR="003B1E56" w:rsidRPr="005648EB" w:rsidRDefault="003B1E56" w:rsidP="003B1E56">
            <w:pPr>
              <w:rPr>
                <w:rFonts w:asciiTheme="minorHAnsi" w:hAnsiTheme="minorHAnsi" w:cstheme="minorHAnsi"/>
                <w:sz w:val="22"/>
                <w:lang w:val="fr-BE"/>
              </w:rPr>
            </w:pPr>
          </w:p>
        </w:tc>
      </w:tr>
      <w:tr w:rsidR="002F64C6" w:rsidRPr="005648EB" w14:paraId="72AC52ED" w14:textId="77777777" w:rsidTr="0025113D">
        <w:tc>
          <w:tcPr>
            <w:tcW w:w="4508" w:type="dxa"/>
          </w:tcPr>
          <w:p w14:paraId="447CE739" w14:textId="12FCBDFD" w:rsidR="002F64C6" w:rsidRPr="00ED34AE" w:rsidRDefault="002F64C6" w:rsidP="00ED34AE">
            <w:pPr>
              <w:jc w:val="both"/>
              <w:rPr>
                <w:rFonts w:asciiTheme="minorHAnsi" w:hAnsiTheme="minorHAnsi" w:cstheme="minorHAnsi"/>
                <w:sz w:val="22"/>
                <w:lang w:val="fr-BE"/>
              </w:rPr>
            </w:pPr>
            <w:proofErr w:type="spellStart"/>
            <w:r w:rsidRPr="00ED34AE">
              <w:rPr>
                <w:rFonts w:asciiTheme="minorHAnsi" w:hAnsiTheme="minorHAnsi" w:cstheme="minorHAnsi"/>
                <w:b/>
                <w:sz w:val="22"/>
                <w:u w:val="single"/>
              </w:rPr>
              <w:t>Introduction</w:t>
            </w:r>
            <w:proofErr w:type="spellEnd"/>
          </w:p>
        </w:tc>
        <w:tc>
          <w:tcPr>
            <w:tcW w:w="4508" w:type="dxa"/>
          </w:tcPr>
          <w:p w14:paraId="06BF4450" w14:textId="0511597F" w:rsidR="002F64C6" w:rsidRPr="00ED34AE" w:rsidRDefault="002F64C6" w:rsidP="00ED34AE">
            <w:pPr>
              <w:jc w:val="both"/>
              <w:rPr>
                <w:rFonts w:asciiTheme="minorHAnsi" w:hAnsiTheme="minorHAnsi" w:cstheme="minorHAnsi"/>
                <w:sz w:val="22"/>
                <w:lang w:val="fr-BE"/>
              </w:rPr>
            </w:pPr>
            <w:r w:rsidRPr="00ED34AE">
              <w:rPr>
                <w:rFonts w:asciiTheme="minorHAnsi" w:hAnsiTheme="minorHAnsi" w:cstheme="minorHAnsi"/>
                <w:b/>
                <w:sz w:val="22"/>
                <w:u w:val="single"/>
              </w:rPr>
              <w:t>Inleiding</w:t>
            </w:r>
          </w:p>
        </w:tc>
      </w:tr>
      <w:tr w:rsidR="003B1E56" w:rsidRPr="005648EB" w14:paraId="0E0345F4" w14:textId="77777777" w:rsidTr="0025113D">
        <w:tc>
          <w:tcPr>
            <w:tcW w:w="4508" w:type="dxa"/>
          </w:tcPr>
          <w:p w14:paraId="10CA4285" w14:textId="77777777" w:rsidR="003B1E56" w:rsidRPr="00ED34AE" w:rsidRDefault="003B1E56" w:rsidP="00ED34AE">
            <w:pPr>
              <w:jc w:val="both"/>
              <w:rPr>
                <w:rFonts w:asciiTheme="minorHAnsi" w:hAnsiTheme="minorHAnsi" w:cstheme="minorHAnsi"/>
                <w:sz w:val="22"/>
                <w:lang w:val="fr-BE"/>
              </w:rPr>
            </w:pPr>
          </w:p>
        </w:tc>
        <w:tc>
          <w:tcPr>
            <w:tcW w:w="4508" w:type="dxa"/>
          </w:tcPr>
          <w:p w14:paraId="3A669F8A" w14:textId="77777777" w:rsidR="003B1E56" w:rsidRPr="00ED34AE" w:rsidRDefault="003B1E56" w:rsidP="00ED34AE">
            <w:pPr>
              <w:jc w:val="both"/>
              <w:rPr>
                <w:rFonts w:asciiTheme="minorHAnsi" w:hAnsiTheme="minorHAnsi" w:cstheme="minorHAnsi"/>
                <w:sz w:val="22"/>
                <w:lang w:val="fr-BE"/>
              </w:rPr>
            </w:pPr>
          </w:p>
        </w:tc>
      </w:tr>
      <w:tr w:rsidR="002F64C6" w:rsidRPr="005648EB" w14:paraId="7BC1F32D" w14:textId="77777777" w:rsidTr="0025113D">
        <w:tc>
          <w:tcPr>
            <w:tcW w:w="4508" w:type="dxa"/>
          </w:tcPr>
          <w:p w14:paraId="1D41527C" w14:textId="7CCA283E" w:rsidR="002F64C6" w:rsidRPr="00ED34AE" w:rsidRDefault="002F64C6" w:rsidP="00ED34AE">
            <w:pPr>
              <w:jc w:val="both"/>
              <w:rPr>
                <w:rFonts w:asciiTheme="minorHAnsi" w:hAnsiTheme="minorHAnsi" w:cstheme="minorHAnsi"/>
                <w:sz w:val="22"/>
                <w:lang w:val="fr-BE"/>
              </w:rPr>
            </w:pPr>
            <w:r w:rsidRPr="00ED34AE">
              <w:rPr>
                <w:rFonts w:asciiTheme="minorHAnsi" w:hAnsiTheme="minorHAnsi" w:cstheme="minorHAnsi"/>
                <w:sz w:val="22"/>
                <w:lang w:val="fr-BE"/>
              </w:rPr>
              <w:t xml:space="preserve">Un nouvel article 15 est inséré dans la loi de manière à préciser les conditions matérielles et procédurales selon lesquelles l’Institut peut exiger d’un opérateur la communication ou l’accès à certaines données d’identification ou </w:t>
            </w:r>
            <w:r w:rsidRPr="00ED34AE">
              <w:rPr>
                <w:rFonts w:asciiTheme="minorHAnsi" w:hAnsiTheme="minorHAnsi" w:cstheme="minorHAnsi"/>
                <w:sz w:val="22"/>
                <w:lang w:val="fr-FR"/>
              </w:rPr>
              <w:t>métadonnées liées aux communications électroniques.</w:t>
            </w:r>
          </w:p>
        </w:tc>
        <w:tc>
          <w:tcPr>
            <w:tcW w:w="4508" w:type="dxa"/>
          </w:tcPr>
          <w:p w14:paraId="6E061E36" w14:textId="7276CB15" w:rsidR="002F64C6" w:rsidRPr="00ED34AE" w:rsidRDefault="002F64C6" w:rsidP="00ED34AE">
            <w:pPr>
              <w:jc w:val="both"/>
              <w:rPr>
                <w:rFonts w:asciiTheme="minorHAnsi" w:hAnsiTheme="minorHAnsi" w:cstheme="minorHAnsi"/>
                <w:sz w:val="22"/>
              </w:rPr>
            </w:pPr>
            <w:r w:rsidRPr="00ED34AE">
              <w:rPr>
                <w:rFonts w:asciiTheme="minorHAnsi" w:hAnsiTheme="minorHAnsi" w:cstheme="minorHAnsi"/>
                <w:sz w:val="22"/>
              </w:rPr>
              <w:t>In de wet wordt een nieuw artikel 15 ingevoegd om de materiële en procedurele voorwaarden te verduidelijken volgens welke het Instituut van een operator de mededeling van of de toegang tot bepaalde identificatiegegevens of metagegevens die gelinkt zijn aan de elektronische communicatie kan eisen.</w:t>
            </w:r>
          </w:p>
        </w:tc>
      </w:tr>
      <w:tr w:rsidR="002F64C6" w:rsidRPr="005648EB" w14:paraId="754E0DAB" w14:textId="77777777" w:rsidTr="0025113D">
        <w:tc>
          <w:tcPr>
            <w:tcW w:w="4508" w:type="dxa"/>
          </w:tcPr>
          <w:p w14:paraId="5A9B0566" w14:textId="77777777" w:rsidR="002F64C6" w:rsidRPr="00ED34AE" w:rsidRDefault="002F64C6" w:rsidP="00ED34AE">
            <w:pPr>
              <w:jc w:val="both"/>
              <w:rPr>
                <w:rFonts w:asciiTheme="minorHAnsi" w:hAnsiTheme="minorHAnsi" w:cstheme="minorHAnsi"/>
                <w:sz w:val="22"/>
              </w:rPr>
            </w:pPr>
          </w:p>
        </w:tc>
        <w:tc>
          <w:tcPr>
            <w:tcW w:w="4508" w:type="dxa"/>
          </w:tcPr>
          <w:p w14:paraId="082B043B" w14:textId="77777777" w:rsidR="002F64C6" w:rsidRPr="00ED34AE" w:rsidRDefault="002F64C6" w:rsidP="00ED34AE">
            <w:pPr>
              <w:jc w:val="both"/>
              <w:rPr>
                <w:rFonts w:asciiTheme="minorHAnsi" w:hAnsiTheme="minorHAnsi" w:cstheme="minorHAnsi"/>
                <w:sz w:val="22"/>
              </w:rPr>
            </w:pPr>
          </w:p>
        </w:tc>
      </w:tr>
      <w:tr w:rsidR="002F64C6" w:rsidRPr="002F64C6" w14:paraId="1FA0D5F8" w14:textId="77777777" w:rsidTr="0025113D">
        <w:tc>
          <w:tcPr>
            <w:tcW w:w="4508" w:type="dxa"/>
          </w:tcPr>
          <w:p w14:paraId="4E6F48D7" w14:textId="4ECEC2BD" w:rsidR="002F64C6" w:rsidRPr="00ED34AE" w:rsidRDefault="002F64C6" w:rsidP="00ED34AE">
            <w:pPr>
              <w:jc w:val="both"/>
              <w:rPr>
                <w:rFonts w:asciiTheme="minorHAnsi" w:hAnsiTheme="minorHAnsi" w:cstheme="minorHAnsi"/>
                <w:sz w:val="22"/>
                <w:lang w:val="fr-BE"/>
              </w:rPr>
            </w:pPr>
            <w:r w:rsidRPr="00ED34AE">
              <w:rPr>
                <w:rFonts w:asciiTheme="minorHAnsi" w:hAnsiTheme="minorHAnsi" w:cstheme="minorHAnsi"/>
                <w:sz w:val="22"/>
                <w:lang w:val="fr-BE"/>
              </w:rPr>
              <w:t>Trois catégories de demandes sont prévues par ce nouvel article 15 :</w:t>
            </w:r>
          </w:p>
        </w:tc>
        <w:tc>
          <w:tcPr>
            <w:tcW w:w="4508" w:type="dxa"/>
          </w:tcPr>
          <w:p w14:paraId="1E4A335A" w14:textId="6D11ACCA" w:rsidR="002F64C6" w:rsidRPr="00ED34AE" w:rsidRDefault="002F64C6" w:rsidP="00ED34AE">
            <w:pPr>
              <w:jc w:val="both"/>
              <w:rPr>
                <w:rFonts w:asciiTheme="minorHAnsi" w:hAnsiTheme="minorHAnsi" w:cstheme="minorHAnsi"/>
                <w:sz w:val="22"/>
              </w:rPr>
            </w:pPr>
            <w:r w:rsidRPr="00ED34AE">
              <w:rPr>
                <w:rFonts w:asciiTheme="minorHAnsi" w:hAnsiTheme="minorHAnsi" w:cstheme="minorHAnsi"/>
                <w:sz w:val="22"/>
              </w:rPr>
              <w:t>Dat nieuwe artikel 15 voorziet in drie categorieën van verzoeken:</w:t>
            </w:r>
          </w:p>
        </w:tc>
      </w:tr>
      <w:tr w:rsidR="0033698A" w:rsidRPr="002F64C6" w14:paraId="3941BF13" w14:textId="77777777" w:rsidTr="0025113D">
        <w:tc>
          <w:tcPr>
            <w:tcW w:w="4508" w:type="dxa"/>
          </w:tcPr>
          <w:p w14:paraId="5C74B503" w14:textId="77777777" w:rsidR="0033698A" w:rsidRPr="003A24C7" w:rsidRDefault="0033698A" w:rsidP="00ED34AE">
            <w:pPr>
              <w:jc w:val="both"/>
              <w:rPr>
                <w:rFonts w:asciiTheme="minorHAnsi" w:hAnsiTheme="minorHAnsi" w:cstheme="minorHAnsi"/>
                <w:sz w:val="22"/>
              </w:rPr>
            </w:pPr>
          </w:p>
        </w:tc>
        <w:tc>
          <w:tcPr>
            <w:tcW w:w="4508" w:type="dxa"/>
          </w:tcPr>
          <w:p w14:paraId="04512D41" w14:textId="77777777" w:rsidR="0033698A" w:rsidRPr="00ED34AE" w:rsidRDefault="0033698A" w:rsidP="00ED34AE">
            <w:pPr>
              <w:jc w:val="both"/>
              <w:rPr>
                <w:rFonts w:asciiTheme="minorHAnsi" w:hAnsiTheme="minorHAnsi" w:cstheme="minorHAnsi"/>
                <w:sz w:val="22"/>
              </w:rPr>
            </w:pPr>
          </w:p>
        </w:tc>
      </w:tr>
      <w:tr w:rsidR="002F64C6" w:rsidRPr="002F64C6" w14:paraId="13BF434A" w14:textId="77777777" w:rsidTr="0025113D">
        <w:tc>
          <w:tcPr>
            <w:tcW w:w="4508" w:type="dxa"/>
          </w:tcPr>
          <w:p w14:paraId="7BA5F68B" w14:textId="77777777" w:rsidR="002F64C6" w:rsidRPr="00ED34AE" w:rsidRDefault="002F64C6" w:rsidP="00866F12">
            <w:pPr>
              <w:pStyle w:val="Lijstalinea"/>
              <w:numPr>
                <w:ilvl w:val="0"/>
                <w:numId w:val="5"/>
              </w:numPr>
              <w:spacing w:before="0"/>
              <w:rPr>
                <w:rFonts w:asciiTheme="minorHAnsi" w:hAnsiTheme="minorHAnsi" w:cstheme="minorHAnsi"/>
                <w:lang w:val="fr-BE"/>
              </w:rPr>
            </w:pPr>
            <w:r w:rsidRPr="00ED34AE">
              <w:rPr>
                <w:rFonts w:asciiTheme="minorHAnsi" w:hAnsiTheme="minorHAnsi" w:cstheme="minorHAnsi"/>
                <w:lang w:val="fr-BE"/>
              </w:rPr>
              <w:t>Le premier paragraphe concerne les demandes de données relatives à l’abonné ou à l’utilisateur habituel du service qui sont nécessaires pour l’accomplissement par l’Institut de l’une de ses missions d’application et de contrôle de la loi télécom (art. 14, §1</w:t>
            </w:r>
            <w:r w:rsidRPr="00ED34AE">
              <w:rPr>
                <w:rFonts w:asciiTheme="minorHAnsi" w:hAnsiTheme="minorHAnsi" w:cstheme="minorHAnsi"/>
                <w:vertAlign w:val="superscript"/>
                <w:lang w:val="fr-BE"/>
              </w:rPr>
              <w:t>er</w:t>
            </w:r>
            <w:r w:rsidRPr="00ED34AE">
              <w:rPr>
                <w:rFonts w:asciiTheme="minorHAnsi" w:hAnsiTheme="minorHAnsi" w:cstheme="minorHAnsi"/>
                <w:lang w:val="fr-BE"/>
              </w:rPr>
              <w:t>, 3°, a)) et des autres législations sectorielles en matière de sécurité des réseaux et des systèmes d’information (art. 14, §1</w:t>
            </w:r>
            <w:r w:rsidRPr="00ED34AE">
              <w:rPr>
                <w:rFonts w:asciiTheme="minorHAnsi" w:hAnsiTheme="minorHAnsi" w:cstheme="minorHAnsi"/>
                <w:vertAlign w:val="superscript"/>
                <w:lang w:val="fr-BE"/>
              </w:rPr>
              <w:t>er</w:t>
            </w:r>
            <w:r w:rsidRPr="00ED34AE">
              <w:rPr>
                <w:rFonts w:asciiTheme="minorHAnsi" w:hAnsiTheme="minorHAnsi" w:cstheme="minorHAnsi"/>
                <w:lang w:val="fr-BE"/>
              </w:rPr>
              <w:t>, 3°, g) à i)) ;</w:t>
            </w:r>
          </w:p>
          <w:p w14:paraId="5833F2CC" w14:textId="77777777" w:rsidR="002F64C6" w:rsidRPr="00ED34AE" w:rsidRDefault="002F64C6" w:rsidP="00866F12">
            <w:pPr>
              <w:jc w:val="both"/>
              <w:rPr>
                <w:rFonts w:asciiTheme="minorHAnsi" w:hAnsiTheme="minorHAnsi" w:cstheme="minorHAnsi"/>
                <w:sz w:val="22"/>
                <w:lang w:val="fr-BE"/>
              </w:rPr>
            </w:pPr>
          </w:p>
        </w:tc>
        <w:tc>
          <w:tcPr>
            <w:tcW w:w="4508" w:type="dxa"/>
          </w:tcPr>
          <w:p w14:paraId="5BF65247" w14:textId="2998DA70" w:rsidR="002F64C6" w:rsidRPr="00866F12" w:rsidRDefault="002F64C6" w:rsidP="00866F12">
            <w:pPr>
              <w:pStyle w:val="Lijstalinea"/>
              <w:numPr>
                <w:ilvl w:val="0"/>
                <w:numId w:val="5"/>
              </w:numPr>
              <w:spacing w:before="0"/>
              <w:rPr>
                <w:rFonts w:asciiTheme="minorHAnsi" w:hAnsiTheme="minorHAnsi" w:cstheme="minorHAnsi"/>
                <w:lang w:val="nl-BE"/>
              </w:rPr>
            </w:pPr>
            <w:r w:rsidRPr="00ED34AE">
              <w:rPr>
                <w:rFonts w:asciiTheme="minorHAnsi" w:hAnsiTheme="minorHAnsi" w:cstheme="minorHAnsi"/>
                <w:lang w:val="nl-BE"/>
              </w:rPr>
              <w:t>De eerste paragraaf betreft de verzoeken om gegevens betreffende de abonnee of de gewoonlijke gebruiker van de dienst die noodzakelijk zijn voor de vervulling door het Instituut van een van zijn opdrachten inzake toepassing en controle van de telecomwet (art. 14, § 1, 3°, a)) en van de overige sectorale wetgevingen betreffende de veiligheid van de netwerken en informatiesystemen (art. 14, § 1, 3°, g) tot  i));</w:t>
            </w:r>
          </w:p>
        </w:tc>
      </w:tr>
      <w:tr w:rsidR="002F64C6" w:rsidRPr="002F64C6" w14:paraId="0C1C0602" w14:textId="77777777" w:rsidTr="0025113D">
        <w:tc>
          <w:tcPr>
            <w:tcW w:w="4508" w:type="dxa"/>
          </w:tcPr>
          <w:p w14:paraId="2B852B07" w14:textId="77777777" w:rsidR="002F64C6" w:rsidRPr="00ED34AE" w:rsidRDefault="002F64C6" w:rsidP="00866F12">
            <w:pPr>
              <w:jc w:val="both"/>
              <w:rPr>
                <w:rFonts w:asciiTheme="minorHAnsi" w:hAnsiTheme="minorHAnsi" w:cstheme="minorHAnsi"/>
                <w:sz w:val="22"/>
              </w:rPr>
            </w:pPr>
          </w:p>
        </w:tc>
        <w:tc>
          <w:tcPr>
            <w:tcW w:w="4508" w:type="dxa"/>
          </w:tcPr>
          <w:p w14:paraId="2ED06769" w14:textId="77777777" w:rsidR="002F64C6" w:rsidRPr="00ED34AE" w:rsidRDefault="002F64C6" w:rsidP="00866F12">
            <w:pPr>
              <w:jc w:val="both"/>
              <w:rPr>
                <w:rFonts w:asciiTheme="minorHAnsi" w:hAnsiTheme="minorHAnsi" w:cstheme="minorHAnsi"/>
                <w:sz w:val="22"/>
              </w:rPr>
            </w:pPr>
          </w:p>
        </w:tc>
      </w:tr>
      <w:tr w:rsidR="002F64C6" w:rsidRPr="002F64C6" w14:paraId="702B1E1B" w14:textId="77777777" w:rsidTr="0025113D">
        <w:tc>
          <w:tcPr>
            <w:tcW w:w="4508" w:type="dxa"/>
          </w:tcPr>
          <w:p w14:paraId="5BE832C7" w14:textId="77777777" w:rsidR="002F64C6" w:rsidRPr="00ED34AE" w:rsidRDefault="002F64C6" w:rsidP="00866F12">
            <w:pPr>
              <w:pStyle w:val="Lijstalinea"/>
              <w:numPr>
                <w:ilvl w:val="0"/>
                <w:numId w:val="5"/>
              </w:numPr>
              <w:spacing w:before="0"/>
              <w:rPr>
                <w:rFonts w:asciiTheme="minorHAnsi" w:hAnsiTheme="minorHAnsi" w:cstheme="minorHAnsi"/>
                <w:lang w:val="fr-BE"/>
              </w:rPr>
            </w:pPr>
            <w:r w:rsidRPr="00ED34AE">
              <w:rPr>
                <w:rFonts w:asciiTheme="minorHAnsi" w:hAnsiTheme="minorHAnsi" w:cstheme="minorHAnsi"/>
                <w:lang w:val="fr-BE"/>
              </w:rPr>
              <w:t>Le deuxième paragraphe concerne les demandes de métadonnées autres que celles visées au § 1</w:t>
            </w:r>
            <w:r w:rsidRPr="00ED34AE">
              <w:rPr>
                <w:rFonts w:asciiTheme="minorHAnsi" w:hAnsiTheme="minorHAnsi" w:cstheme="minorHAnsi"/>
                <w:vertAlign w:val="superscript"/>
                <w:lang w:val="fr-BE"/>
              </w:rPr>
              <w:t>er</w:t>
            </w:r>
            <w:r w:rsidRPr="00ED34AE">
              <w:rPr>
                <w:rFonts w:asciiTheme="minorHAnsi" w:hAnsiTheme="minorHAnsi" w:cstheme="minorHAnsi"/>
                <w:lang w:val="fr-BE"/>
              </w:rPr>
              <w:t>, qui sont nécessaires pour l’accomplissement par l’Institut de l’une de ses missions d’application et de contrôle de la loi télécom (art. 14, §1</w:t>
            </w:r>
            <w:r w:rsidRPr="00ED34AE">
              <w:rPr>
                <w:rFonts w:asciiTheme="minorHAnsi" w:hAnsiTheme="minorHAnsi" w:cstheme="minorHAnsi"/>
                <w:vertAlign w:val="superscript"/>
                <w:lang w:val="fr-BE"/>
              </w:rPr>
              <w:t>er</w:t>
            </w:r>
            <w:r w:rsidRPr="00ED34AE">
              <w:rPr>
                <w:rFonts w:asciiTheme="minorHAnsi" w:hAnsiTheme="minorHAnsi" w:cstheme="minorHAnsi"/>
                <w:lang w:val="fr-BE"/>
              </w:rPr>
              <w:t>, 3°, a)) et des autres législations sectorielles en matière de sécurité des réseaux et des systèmes d’information (art. 14, §1</w:t>
            </w:r>
            <w:r w:rsidRPr="00ED34AE">
              <w:rPr>
                <w:rFonts w:asciiTheme="minorHAnsi" w:hAnsiTheme="minorHAnsi" w:cstheme="minorHAnsi"/>
                <w:vertAlign w:val="superscript"/>
                <w:lang w:val="fr-BE"/>
              </w:rPr>
              <w:t>er</w:t>
            </w:r>
            <w:r w:rsidRPr="00ED34AE">
              <w:rPr>
                <w:rFonts w:asciiTheme="minorHAnsi" w:hAnsiTheme="minorHAnsi" w:cstheme="minorHAnsi"/>
                <w:lang w:val="fr-BE"/>
              </w:rPr>
              <w:t>, 3°, g) à i)) ;</w:t>
            </w:r>
          </w:p>
          <w:p w14:paraId="2A1F2C8E" w14:textId="77777777" w:rsidR="002F64C6" w:rsidRPr="00ED34AE" w:rsidRDefault="002F64C6" w:rsidP="00866F12">
            <w:pPr>
              <w:jc w:val="both"/>
              <w:rPr>
                <w:rFonts w:asciiTheme="minorHAnsi" w:hAnsiTheme="minorHAnsi" w:cstheme="minorHAnsi"/>
                <w:sz w:val="22"/>
                <w:lang w:val="fr-BE"/>
              </w:rPr>
            </w:pPr>
          </w:p>
        </w:tc>
        <w:tc>
          <w:tcPr>
            <w:tcW w:w="4508" w:type="dxa"/>
          </w:tcPr>
          <w:p w14:paraId="08FD1569" w14:textId="1DE8879F" w:rsidR="002F64C6" w:rsidRPr="00866F12" w:rsidRDefault="002F64C6" w:rsidP="00866F12">
            <w:pPr>
              <w:pStyle w:val="Lijstalinea"/>
              <w:numPr>
                <w:ilvl w:val="0"/>
                <w:numId w:val="5"/>
              </w:numPr>
              <w:spacing w:before="0"/>
              <w:rPr>
                <w:rFonts w:asciiTheme="minorHAnsi" w:hAnsiTheme="minorHAnsi" w:cstheme="minorHAnsi"/>
                <w:lang w:val="nl-BE"/>
              </w:rPr>
            </w:pPr>
            <w:r w:rsidRPr="00ED34AE">
              <w:rPr>
                <w:rFonts w:asciiTheme="minorHAnsi" w:hAnsiTheme="minorHAnsi" w:cstheme="minorHAnsi"/>
                <w:lang w:val="nl-BE"/>
              </w:rPr>
              <w:t>De tweede paragraaf betreft de verzoeken om andere metagegevens dan diegene die bedoeld zijn in § 1 en die noodzakelijk zijn voor de vervulling door het Instituut van een van zijn opdrachten inzake toepassing en controle van de telecomwet (art. 14, § 1, 3°, a)) en van de overige sectorale wetgevingen betreffende de veiligheid van de netwerken en informatiesystemen (art. 14, § 1, 3°, g) tot  i));</w:t>
            </w:r>
          </w:p>
        </w:tc>
      </w:tr>
      <w:tr w:rsidR="002F64C6" w:rsidRPr="002F64C6" w14:paraId="6F00C7C4" w14:textId="77777777" w:rsidTr="0025113D">
        <w:tc>
          <w:tcPr>
            <w:tcW w:w="4508" w:type="dxa"/>
          </w:tcPr>
          <w:p w14:paraId="24BBEAF2" w14:textId="77777777" w:rsidR="002F64C6" w:rsidRPr="00ED34AE" w:rsidRDefault="002F64C6" w:rsidP="00ED34AE">
            <w:pPr>
              <w:jc w:val="both"/>
              <w:rPr>
                <w:rFonts w:asciiTheme="minorHAnsi" w:hAnsiTheme="minorHAnsi" w:cstheme="minorHAnsi"/>
                <w:sz w:val="22"/>
              </w:rPr>
            </w:pPr>
          </w:p>
        </w:tc>
        <w:tc>
          <w:tcPr>
            <w:tcW w:w="4508" w:type="dxa"/>
          </w:tcPr>
          <w:p w14:paraId="58311BB5" w14:textId="77777777" w:rsidR="002F64C6" w:rsidRPr="00ED34AE" w:rsidRDefault="002F64C6" w:rsidP="00ED34AE">
            <w:pPr>
              <w:jc w:val="both"/>
              <w:rPr>
                <w:rFonts w:asciiTheme="minorHAnsi" w:hAnsiTheme="minorHAnsi" w:cstheme="minorHAnsi"/>
                <w:sz w:val="22"/>
              </w:rPr>
            </w:pPr>
          </w:p>
        </w:tc>
      </w:tr>
      <w:tr w:rsidR="00866F12" w:rsidRPr="002F64C6" w14:paraId="79E213CB" w14:textId="77777777" w:rsidTr="0025113D">
        <w:tc>
          <w:tcPr>
            <w:tcW w:w="4508" w:type="dxa"/>
          </w:tcPr>
          <w:p w14:paraId="262F8926" w14:textId="42696E1B" w:rsidR="00866F12" w:rsidRPr="00866F12" w:rsidRDefault="00866F12" w:rsidP="00866F12">
            <w:pPr>
              <w:pStyle w:val="Lijstalinea"/>
              <w:numPr>
                <w:ilvl w:val="0"/>
                <w:numId w:val="5"/>
              </w:numPr>
              <w:spacing w:before="0"/>
              <w:rPr>
                <w:rFonts w:asciiTheme="minorHAnsi" w:hAnsiTheme="minorHAnsi" w:cstheme="minorHAnsi"/>
                <w:lang w:val="fr-BE"/>
              </w:rPr>
            </w:pPr>
            <w:r w:rsidRPr="00ED34AE">
              <w:rPr>
                <w:rFonts w:asciiTheme="minorHAnsi" w:hAnsiTheme="minorHAnsi" w:cstheme="minorHAnsi"/>
                <w:lang w:val="fr-BE"/>
              </w:rPr>
              <w:t>Le troisième paragraphe concerne les demandes d’accès aux bases de données des opérateurs mettant en œuvre les articles 122 à 127 de la loi télécom, à des fins de contrôle du respect de ces articles et de leurs arrêtés d’exécution.</w:t>
            </w:r>
          </w:p>
        </w:tc>
        <w:tc>
          <w:tcPr>
            <w:tcW w:w="4508" w:type="dxa"/>
          </w:tcPr>
          <w:p w14:paraId="08AD42A3" w14:textId="3F925D26" w:rsidR="00866F12" w:rsidRPr="00866F12" w:rsidRDefault="00866F12" w:rsidP="00866F12">
            <w:pPr>
              <w:pStyle w:val="Lijstalinea"/>
              <w:numPr>
                <w:ilvl w:val="0"/>
                <w:numId w:val="5"/>
              </w:numPr>
              <w:spacing w:before="0"/>
              <w:rPr>
                <w:rFonts w:asciiTheme="minorHAnsi" w:hAnsiTheme="minorHAnsi" w:cstheme="minorHAnsi"/>
                <w:lang w:val="nl-BE"/>
              </w:rPr>
            </w:pPr>
            <w:r w:rsidRPr="00866F12">
              <w:rPr>
                <w:rFonts w:asciiTheme="minorHAnsi" w:hAnsiTheme="minorHAnsi" w:cstheme="minorHAnsi"/>
                <w:lang w:val="nl-BE"/>
              </w:rPr>
              <w:t>De derde paragraaf betreft de verzoeken om toegang tot de databanken van de operatoren die de artikelen 122 tot 127 van de telecomwet uitvoeren, met het oog op de controle van de naleving van deze artikelen en de uitvoeringsbesluiten ervan.</w:t>
            </w:r>
          </w:p>
        </w:tc>
      </w:tr>
      <w:tr w:rsidR="002F64C6" w:rsidRPr="002F64C6" w14:paraId="1626686A" w14:textId="77777777" w:rsidTr="0025113D">
        <w:tc>
          <w:tcPr>
            <w:tcW w:w="4508" w:type="dxa"/>
          </w:tcPr>
          <w:p w14:paraId="550A63C6" w14:textId="77777777" w:rsidR="002F64C6" w:rsidRPr="00ED34AE" w:rsidRDefault="002F64C6" w:rsidP="00ED34AE">
            <w:pPr>
              <w:jc w:val="both"/>
              <w:rPr>
                <w:rFonts w:asciiTheme="minorHAnsi" w:hAnsiTheme="minorHAnsi" w:cstheme="minorHAnsi"/>
                <w:sz w:val="22"/>
              </w:rPr>
            </w:pPr>
          </w:p>
        </w:tc>
        <w:tc>
          <w:tcPr>
            <w:tcW w:w="4508" w:type="dxa"/>
          </w:tcPr>
          <w:p w14:paraId="0AA279C6" w14:textId="77777777" w:rsidR="002F64C6" w:rsidRPr="00ED34AE" w:rsidRDefault="002F64C6" w:rsidP="00ED34AE">
            <w:pPr>
              <w:jc w:val="both"/>
              <w:rPr>
                <w:rFonts w:asciiTheme="minorHAnsi" w:hAnsiTheme="minorHAnsi" w:cstheme="minorHAnsi"/>
                <w:sz w:val="22"/>
              </w:rPr>
            </w:pPr>
          </w:p>
        </w:tc>
      </w:tr>
      <w:tr w:rsidR="002F64C6" w:rsidRPr="002F64C6" w14:paraId="4E2C414E" w14:textId="77777777" w:rsidTr="0025113D">
        <w:tc>
          <w:tcPr>
            <w:tcW w:w="4508" w:type="dxa"/>
          </w:tcPr>
          <w:p w14:paraId="192DC7C6" w14:textId="42ABC3AA" w:rsidR="002F64C6" w:rsidRPr="00ED34AE" w:rsidRDefault="002F64C6" w:rsidP="00ED34AE">
            <w:pPr>
              <w:jc w:val="both"/>
              <w:rPr>
                <w:rFonts w:asciiTheme="minorHAnsi" w:hAnsiTheme="minorHAnsi" w:cstheme="minorHAnsi"/>
                <w:sz w:val="22"/>
              </w:rPr>
            </w:pPr>
            <w:r w:rsidRPr="00ED34AE">
              <w:rPr>
                <w:rFonts w:asciiTheme="minorHAnsi" w:hAnsiTheme="minorHAnsi" w:cstheme="minorHAnsi"/>
                <w:b/>
                <w:sz w:val="22"/>
                <w:u w:val="single"/>
                <w:lang w:val="fr-BE"/>
              </w:rPr>
              <w:t xml:space="preserve">Paragraphes 1 et 2 : considérations générales </w:t>
            </w:r>
          </w:p>
        </w:tc>
        <w:tc>
          <w:tcPr>
            <w:tcW w:w="4508" w:type="dxa"/>
          </w:tcPr>
          <w:p w14:paraId="0C55AF21" w14:textId="527E2919" w:rsidR="002F64C6" w:rsidRPr="00ED34AE" w:rsidRDefault="002F64C6" w:rsidP="00ED34AE">
            <w:pPr>
              <w:jc w:val="both"/>
              <w:rPr>
                <w:rFonts w:asciiTheme="minorHAnsi" w:hAnsiTheme="minorHAnsi" w:cstheme="minorHAnsi"/>
                <w:sz w:val="22"/>
              </w:rPr>
            </w:pPr>
            <w:r w:rsidRPr="00ED34AE">
              <w:rPr>
                <w:rFonts w:asciiTheme="minorHAnsi" w:hAnsiTheme="minorHAnsi" w:cstheme="minorHAnsi"/>
                <w:b/>
                <w:sz w:val="22"/>
                <w:u w:val="single"/>
              </w:rPr>
              <w:t>De paragrafen 1 en 2: algemene beschouwingen</w:t>
            </w:r>
          </w:p>
        </w:tc>
      </w:tr>
      <w:tr w:rsidR="002F64C6" w:rsidRPr="002F64C6" w14:paraId="0C6945DB" w14:textId="77777777" w:rsidTr="0025113D">
        <w:tc>
          <w:tcPr>
            <w:tcW w:w="4508" w:type="dxa"/>
          </w:tcPr>
          <w:p w14:paraId="12D22FA5" w14:textId="77777777" w:rsidR="002F64C6" w:rsidRPr="00ED34AE" w:rsidRDefault="002F64C6" w:rsidP="00ED34AE">
            <w:pPr>
              <w:jc w:val="both"/>
              <w:rPr>
                <w:rFonts w:asciiTheme="minorHAnsi" w:hAnsiTheme="minorHAnsi" w:cstheme="minorHAnsi"/>
                <w:sz w:val="22"/>
              </w:rPr>
            </w:pPr>
          </w:p>
        </w:tc>
        <w:tc>
          <w:tcPr>
            <w:tcW w:w="4508" w:type="dxa"/>
          </w:tcPr>
          <w:p w14:paraId="247A8C68" w14:textId="77777777" w:rsidR="002F64C6" w:rsidRPr="00ED34AE" w:rsidRDefault="002F64C6" w:rsidP="00ED34AE">
            <w:pPr>
              <w:jc w:val="both"/>
              <w:rPr>
                <w:rFonts w:asciiTheme="minorHAnsi" w:hAnsiTheme="minorHAnsi" w:cstheme="minorHAnsi"/>
                <w:sz w:val="22"/>
              </w:rPr>
            </w:pPr>
          </w:p>
        </w:tc>
      </w:tr>
      <w:tr w:rsidR="002F64C6" w:rsidRPr="002F64C6" w14:paraId="2168CE18" w14:textId="77777777" w:rsidTr="0025113D">
        <w:tc>
          <w:tcPr>
            <w:tcW w:w="4508" w:type="dxa"/>
          </w:tcPr>
          <w:p w14:paraId="3DA98E64" w14:textId="0EA9EA57" w:rsidR="002F64C6" w:rsidRPr="00ED34AE" w:rsidRDefault="002F64C6" w:rsidP="00ED34AE">
            <w:pPr>
              <w:jc w:val="both"/>
              <w:rPr>
                <w:rFonts w:asciiTheme="minorHAnsi" w:hAnsiTheme="minorHAnsi" w:cstheme="minorHAnsi"/>
                <w:sz w:val="22"/>
                <w:lang w:val="fr-BE"/>
              </w:rPr>
            </w:pPr>
            <w:r w:rsidRPr="00ED34AE">
              <w:rPr>
                <w:rFonts w:asciiTheme="minorHAnsi" w:hAnsiTheme="minorHAnsi" w:cstheme="minorHAnsi"/>
                <w:color w:val="000000" w:themeColor="text1"/>
                <w:sz w:val="22"/>
                <w:lang w:val="fr-BE"/>
              </w:rPr>
              <w:t>Les paragraphes 1 et 2 visent les missions d’application et de contrôle du respect de la loi télécom (art. 14, §1</w:t>
            </w:r>
            <w:r w:rsidRPr="00ED34AE">
              <w:rPr>
                <w:rFonts w:asciiTheme="minorHAnsi" w:hAnsiTheme="minorHAnsi" w:cstheme="minorHAnsi"/>
                <w:color w:val="000000" w:themeColor="text1"/>
                <w:sz w:val="22"/>
                <w:vertAlign w:val="superscript"/>
                <w:lang w:val="fr-BE"/>
              </w:rPr>
              <w:t>er</w:t>
            </w:r>
            <w:r w:rsidRPr="00ED34AE">
              <w:rPr>
                <w:rFonts w:asciiTheme="minorHAnsi" w:hAnsiTheme="minorHAnsi" w:cstheme="minorHAnsi"/>
                <w:color w:val="000000" w:themeColor="text1"/>
                <w:sz w:val="22"/>
                <w:lang w:val="fr-BE"/>
              </w:rPr>
              <w:t>, 3°, a)) et des autres législations sectorielles en matière de sécurité des réseaux et des systèmes d’information (à savoir : art. 14, §1</w:t>
            </w:r>
            <w:r w:rsidRPr="00ED34AE">
              <w:rPr>
                <w:rFonts w:asciiTheme="minorHAnsi" w:hAnsiTheme="minorHAnsi" w:cstheme="minorHAnsi"/>
                <w:color w:val="000000" w:themeColor="text1"/>
                <w:sz w:val="22"/>
                <w:vertAlign w:val="superscript"/>
                <w:lang w:val="fr-BE"/>
              </w:rPr>
              <w:t>er</w:t>
            </w:r>
            <w:r w:rsidRPr="00ED34AE">
              <w:rPr>
                <w:rFonts w:asciiTheme="minorHAnsi" w:hAnsiTheme="minorHAnsi" w:cstheme="minorHAnsi"/>
                <w:color w:val="000000" w:themeColor="text1"/>
                <w:sz w:val="22"/>
                <w:lang w:val="fr-BE"/>
              </w:rPr>
              <w:t>, 3°, g) la loi du 1er juillet 2011 relative à la sécurité et la protection des infrastructures critiques, pour ce qui concerne les secteurs des communications électroniques et des infrastructures numériques ;    h) la loi du 7 avril 2019 établissant un cadre pour la sécurité des réseaux et des systèmes d'information d'intérêt général pour la sécurité publique, en ce qui concerne le secteur des infrastructures numériques ; et   i) le Règlement (UE) 611/2013 de la Commission du 24 juin 2013 concernant les mesures relatives à la notification des violations de données à caractère personnel en vertu de la Directive 2002/58/CE du Parlement européen et du Conseil sur la vie privée et les communications électroniques).</w:t>
            </w:r>
          </w:p>
        </w:tc>
        <w:tc>
          <w:tcPr>
            <w:tcW w:w="4508" w:type="dxa"/>
          </w:tcPr>
          <w:p w14:paraId="2CC87622" w14:textId="61B1EB3B" w:rsidR="002F64C6" w:rsidRPr="00866F12" w:rsidRDefault="002F64C6" w:rsidP="00ED34AE">
            <w:pPr>
              <w:jc w:val="both"/>
              <w:rPr>
                <w:rFonts w:asciiTheme="minorHAnsi" w:hAnsiTheme="minorHAnsi" w:cstheme="minorHAnsi"/>
                <w:color w:val="000000" w:themeColor="text1"/>
                <w:sz w:val="22"/>
              </w:rPr>
            </w:pPr>
            <w:r w:rsidRPr="00ED34AE">
              <w:rPr>
                <w:rFonts w:asciiTheme="minorHAnsi" w:hAnsiTheme="minorHAnsi" w:cstheme="minorHAnsi"/>
                <w:color w:val="000000" w:themeColor="text1"/>
                <w:sz w:val="22"/>
              </w:rPr>
              <w:t>De paragrafen 1 en 2 beogen de opdrachten inzake toepassing en controle van de naleving van de telecomwet (art. 14, § 1, 3°, a)) en van de overige sectorale wetgevingen betreffende de veiligheid van de netwerken en informatiesystemen (namelijk: art. 14, § 1, 3°, g) van de wet van 1 juli 2011 betreffende de beveiliging en de bescherming van de kritieke infrastructuren, wat betreft de sectoren van de elektronische communicatie en de kritieke infrastructuren; h) de wet van 7 april 2019 tot vaststelling van een kader voor de beveiliging van netwerk- en informatiesystemen van algemeen belang voor de openbare veiligheid, wat de sector van de digitale infrastructuren betreft; en i) Verordening (EU) nr. 611/2013 van de Commissie van 24 juni 2013 betreffende maatregelen voor het melden van inbreuken in verband met persoonsgegevens op grond van Richtlijn 2002/58/EG van het Europees Parlement en de Raad betreffende privacy en elektronische communicatie).</w:t>
            </w:r>
          </w:p>
        </w:tc>
      </w:tr>
      <w:tr w:rsidR="002F64C6" w:rsidRPr="002F64C6" w14:paraId="4B675CFD" w14:textId="77777777" w:rsidTr="0025113D">
        <w:tc>
          <w:tcPr>
            <w:tcW w:w="4508" w:type="dxa"/>
          </w:tcPr>
          <w:p w14:paraId="67E9CEE1" w14:textId="77777777" w:rsidR="002F64C6" w:rsidRPr="00ED34AE" w:rsidRDefault="002F64C6" w:rsidP="00ED34AE">
            <w:pPr>
              <w:jc w:val="both"/>
              <w:rPr>
                <w:rFonts w:asciiTheme="minorHAnsi" w:hAnsiTheme="minorHAnsi" w:cstheme="minorHAnsi"/>
                <w:sz w:val="22"/>
              </w:rPr>
            </w:pPr>
          </w:p>
        </w:tc>
        <w:tc>
          <w:tcPr>
            <w:tcW w:w="4508" w:type="dxa"/>
          </w:tcPr>
          <w:p w14:paraId="0FB26F60" w14:textId="77777777" w:rsidR="002F64C6" w:rsidRPr="00ED34AE" w:rsidRDefault="002F64C6" w:rsidP="00ED34AE">
            <w:pPr>
              <w:jc w:val="both"/>
              <w:rPr>
                <w:rFonts w:asciiTheme="minorHAnsi" w:hAnsiTheme="minorHAnsi" w:cstheme="minorHAnsi"/>
                <w:sz w:val="22"/>
              </w:rPr>
            </w:pPr>
          </w:p>
        </w:tc>
      </w:tr>
      <w:tr w:rsidR="002F64C6" w:rsidRPr="002F64C6" w14:paraId="067EE8E8" w14:textId="77777777" w:rsidTr="0025113D">
        <w:tc>
          <w:tcPr>
            <w:tcW w:w="4508" w:type="dxa"/>
          </w:tcPr>
          <w:p w14:paraId="576728B4" w14:textId="019A2615" w:rsidR="002F64C6" w:rsidRPr="00866F12" w:rsidRDefault="002F64C6" w:rsidP="00ED34AE">
            <w:pPr>
              <w:jc w:val="both"/>
              <w:rPr>
                <w:rFonts w:asciiTheme="minorHAnsi" w:hAnsiTheme="minorHAnsi" w:cstheme="minorHAnsi"/>
                <w:color w:val="000000" w:themeColor="text1"/>
                <w:sz w:val="22"/>
                <w:lang w:val="fr-BE"/>
              </w:rPr>
            </w:pPr>
            <w:r w:rsidRPr="00ED34AE">
              <w:rPr>
                <w:rFonts w:asciiTheme="minorHAnsi" w:hAnsiTheme="minorHAnsi" w:cstheme="minorHAnsi"/>
                <w:color w:val="000000" w:themeColor="text1"/>
                <w:sz w:val="22"/>
                <w:lang w:val="fr-BE"/>
              </w:rPr>
              <w:t xml:space="preserve">Les finalités poursuivies par ces paragraphes correspondent aux finalités suivantes prévues à l’article 127/1, § 2, de la loi télécom : </w:t>
            </w:r>
          </w:p>
        </w:tc>
        <w:tc>
          <w:tcPr>
            <w:tcW w:w="4508" w:type="dxa"/>
          </w:tcPr>
          <w:p w14:paraId="2B917694" w14:textId="11B39979" w:rsidR="002F64C6" w:rsidRPr="00866F12" w:rsidRDefault="002F64C6" w:rsidP="00ED34AE">
            <w:pPr>
              <w:jc w:val="both"/>
              <w:rPr>
                <w:rFonts w:asciiTheme="minorHAnsi" w:hAnsiTheme="minorHAnsi" w:cstheme="minorHAnsi"/>
                <w:color w:val="000000" w:themeColor="text1"/>
                <w:sz w:val="22"/>
              </w:rPr>
            </w:pPr>
            <w:r w:rsidRPr="00ED34AE">
              <w:rPr>
                <w:rFonts w:asciiTheme="minorHAnsi" w:hAnsiTheme="minorHAnsi" w:cstheme="minorHAnsi"/>
                <w:color w:val="000000" w:themeColor="text1"/>
                <w:sz w:val="22"/>
              </w:rPr>
              <w:t xml:space="preserve">Hetgeen deze paragrafen nastreven komt overeen met de volgende doeleinden waarin artikel 127/1, § 2, van de telecomwet voorziet: </w:t>
            </w:r>
          </w:p>
        </w:tc>
      </w:tr>
      <w:tr w:rsidR="002F64C6" w:rsidRPr="002F64C6" w14:paraId="2DE7988D" w14:textId="77777777" w:rsidTr="0025113D">
        <w:tc>
          <w:tcPr>
            <w:tcW w:w="4508" w:type="dxa"/>
          </w:tcPr>
          <w:p w14:paraId="4DB9B74A" w14:textId="77777777" w:rsidR="002F64C6" w:rsidRPr="00ED34AE" w:rsidRDefault="002F64C6" w:rsidP="00ED34AE">
            <w:pPr>
              <w:jc w:val="both"/>
              <w:rPr>
                <w:rFonts w:asciiTheme="minorHAnsi" w:hAnsiTheme="minorHAnsi" w:cstheme="minorHAnsi"/>
                <w:sz w:val="22"/>
              </w:rPr>
            </w:pPr>
          </w:p>
        </w:tc>
        <w:tc>
          <w:tcPr>
            <w:tcW w:w="4508" w:type="dxa"/>
          </w:tcPr>
          <w:p w14:paraId="68B975C3" w14:textId="77777777" w:rsidR="002F64C6" w:rsidRPr="00ED34AE" w:rsidRDefault="002F64C6" w:rsidP="00ED34AE">
            <w:pPr>
              <w:jc w:val="both"/>
              <w:rPr>
                <w:rFonts w:asciiTheme="minorHAnsi" w:hAnsiTheme="minorHAnsi" w:cstheme="minorHAnsi"/>
                <w:sz w:val="22"/>
              </w:rPr>
            </w:pPr>
          </w:p>
        </w:tc>
      </w:tr>
      <w:tr w:rsidR="002F64C6" w:rsidRPr="002F64C6" w14:paraId="5D7151E1" w14:textId="77777777" w:rsidTr="0025113D">
        <w:tc>
          <w:tcPr>
            <w:tcW w:w="4508" w:type="dxa"/>
          </w:tcPr>
          <w:p w14:paraId="5DDD6B2D" w14:textId="65DB8D13" w:rsidR="002F64C6" w:rsidRPr="00866F12" w:rsidRDefault="002F64C6" w:rsidP="00866F12">
            <w:pPr>
              <w:pStyle w:val="Lijstalinea"/>
              <w:numPr>
                <w:ilvl w:val="0"/>
                <w:numId w:val="6"/>
              </w:numPr>
              <w:spacing w:before="0"/>
              <w:rPr>
                <w:rFonts w:asciiTheme="minorHAnsi" w:hAnsiTheme="minorHAnsi" w:cstheme="minorHAnsi"/>
                <w:color w:val="000000" w:themeColor="text1"/>
                <w:lang w:val="fr-BE"/>
              </w:rPr>
            </w:pPr>
            <w:r w:rsidRPr="00ED34AE">
              <w:rPr>
                <w:rFonts w:asciiTheme="minorHAnsi" w:hAnsiTheme="minorHAnsi" w:cstheme="minorHAnsi"/>
                <w:color w:val="000000" w:themeColor="text1"/>
                <w:lang w:val="fr-BE"/>
              </w:rPr>
              <w:t>la prévention de menaces graves contre la sécurité publique (art. 127, § 2, 2° de la loi télécom) ;</w:t>
            </w:r>
          </w:p>
        </w:tc>
        <w:tc>
          <w:tcPr>
            <w:tcW w:w="4508" w:type="dxa"/>
          </w:tcPr>
          <w:p w14:paraId="126590D1" w14:textId="54D5244D" w:rsidR="002F64C6" w:rsidRPr="00866F12" w:rsidRDefault="002F64C6" w:rsidP="00866F12">
            <w:pPr>
              <w:pStyle w:val="Lijstalinea"/>
              <w:numPr>
                <w:ilvl w:val="0"/>
                <w:numId w:val="6"/>
              </w:numPr>
              <w:spacing w:before="0"/>
              <w:rPr>
                <w:rFonts w:asciiTheme="minorHAnsi" w:hAnsiTheme="minorHAnsi" w:cstheme="minorHAnsi"/>
                <w:color w:val="000000" w:themeColor="text1"/>
                <w:lang w:val="nl-BE"/>
              </w:rPr>
            </w:pPr>
            <w:r w:rsidRPr="00ED34AE">
              <w:rPr>
                <w:rFonts w:asciiTheme="minorHAnsi" w:hAnsiTheme="minorHAnsi" w:cstheme="minorHAnsi"/>
                <w:color w:val="000000" w:themeColor="text1"/>
                <w:lang w:val="nl-BE"/>
              </w:rPr>
              <w:t>de preventie van ernstige bedreigingen van de openbare veiligheid (art. 127, § 2, 2°, van de telecomwet);</w:t>
            </w:r>
          </w:p>
        </w:tc>
      </w:tr>
      <w:tr w:rsidR="002F64C6" w:rsidRPr="002F64C6" w14:paraId="50FEA515" w14:textId="77777777" w:rsidTr="0025113D">
        <w:tc>
          <w:tcPr>
            <w:tcW w:w="4508" w:type="dxa"/>
          </w:tcPr>
          <w:p w14:paraId="5F5F082B" w14:textId="77777777" w:rsidR="002F64C6" w:rsidRPr="00ED34AE" w:rsidRDefault="002F64C6" w:rsidP="00866F12">
            <w:pPr>
              <w:jc w:val="both"/>
              <w:rPr>
                <w:rFonts w:asciiTheme="minorHAnsi" w:hAnsiTheme="minorHAnsi" w:cstheme="minorHAnsi"/>
                <w:sz w:val="22"/>
              </w:rPr>
            </w:pPr>
          </w:p>
        </w:tc>
        <w:tc>
          <w:tcPr>
            <w:tcW w:w="4508" w:type="dxa"/>
          </w:tcPr>
          <w:p w14:paraId="5BC934E2" w14:textId="77777777" w:rsidR="002F64C6" w:rsidRPr="00ED34AE" w:rsidRDefault="002F64C6" w:rsidP="00866F12">
            <w:pPr>
              <w:jc w:val="both"/>
              <w:rPr>
                <w:rFonts w:asciiTheme="minorHAnsi" w:hAnsiTheme="minorHAnsi" w:cstheme="minorHAnsi"/>
                <w:sz w:val="22"/>
              </w:rPr>
            </w:pPr>
          </w:p>
        </w:tc>
      </w:tr>
      <w:tr w:rsidR="002F64C6" w:rsidRPr="002F64C6" w14:paraId="3AFBC80C" w14:textId="77777777" w:rsidTr="0025113D">
        <w:tc>
          <w:tcPr>
            <w:tcW w:w="4508" w:type="dxa"/>
          </w:tcPr>
          <w:p w14:paraId="540FEE72" w14:textId="5640D532" w:rsidR="002F64C6" w:rsidRPr="00866F12" w:rsidRDefault="002F64C6" w:rsidP="00866F12">
            <w:pPr>
              <w:pStyle w:val="Lijstalinea"/>
              <w:numPr>
                <w:ilvl w:val="0"/>
                <w:numId w:val="6"/>
              </w:numPr>
              <w:spacing w:before="0"/>
              <w:rPr>
                <w:rFonts w:asciiTheme="minorHAnsi" w:hAnsiTheme="minorHAnsi" w:cstheme="minorHAnsi"/>
                <w:color w:val="000000" w:themeColor="text1"/>
                <w:lang w:val="fr-BE"/>
              </w:rPr>
            </w:pPr>
            <w:r w:rsidRPr="00ED34AE">
              <w:rPr>
                <w:rFonts w:asciiTheme="minorHAnsi" w:hAnsiTheme="minorHAnsi" w:cstheme="minorHAnsi"/>
                <w:color w:val="000000" w:themeColor="text1"/>
                <w:lang w:val="fr-BE"/>
              </w:rPr>
              <w:t>l’examen de défaillances de la sécurité des réseaux ou de services de communications électroniques (art. 127, § 2, 4° de la télécom);</w:t>
            </w:r>
          </w:p>
        </w:tc>
        <w:tc>
          <w:tcPr>
            <w:tcW w:w="4508" w:type="dxa"/>
          </w:tcPr>
          <w:p w14:paraId="023B60C3" w14:textId="2E698328" w:rsidR="002F64C6" w:rsidRPr="00866F12" w:rsidRDefault="002F64C6" w:rsidP="00866F12">
            <w:pPr>
              <w:pStyle w:val="Lijstalinea"/>
              <w:numPr>
                <w:ilvl w:val="0"/>
                <w:numId w:val="6"/>
              </w:numPr>
              <w:spacing w:before="0"/>
              <w:rPr>
                <w:rFonts w:asciiTheme="minorHAnsi" w:hAnsiTheme="minorHAnsi" w:cstheme="minorHAnsi"/>
                <w:color w:val="000000" w:themeColor="text1"/>
                <w:lang w:val="nl-BE"/>
              </w:rPr>
            </w:pPr>
            <w:r w:rsidRPr="00ED34AE">
              <w:rPr>
                <w:rFonts w:asciiTheme="minorHAnsi" w:hAnsiTheme="minorHAnsi" w:cstheme="minorHAnsi"/>
                <w:color w:val="000000" w:themeColor="text1"/>
                <w:lang w:val="nl-BE"/>
              </w:rPr>
              <w:t>het onderzoek van veiligheidslekken inzake elektronische-communicatienetwerken of -diensten (art. 127, § 2, 4°, van de telecomwet);</w:t>
            </w:r>
          </w:p>
        </w:tc>
      </w:tr>
      <w:tr w:rsidR="002F64C6" w:rsidRPr="002F64C6" w14:paraId="2850F794" w14:textId="77777777" w:rsidTr="0025113D">
        <w:tc>
          <w:tcPr>
            <w:tcW w:w="4508" w:type="dxa"/>
          </w:tcPr>
          <w:p w14:paraId="2EEF1DEC" w14:textId="77777777" w:rsidR="002F64C6" w:rsidRPr="00ED34AE" w:rsidRDefault="002F64C6" w:rsidP="00866F12">
            <w:pPr>
              <w:jc w:val="both"/>
              <w:rPr>
                <w:rFonts w:asciiTheme="minorHAnsi" w:hAnsiTheme="minorHAnsi" w:cstheme="minorHAnsi"/>
                <w:sz w:val="22"/>
              </w:rPr>
            </w:pPr>
          </w:p>
        </w:tc>
        <w:tc>
          <w:tcPr>
            <w:tcW w:w="4508" w:type="dxa"/>
          </w:tcPr>
          <w:p w14:paraId="265BBC3B" w14:textId="77777777" w:rsidR="002F64C6" w:rsidRPr="00ED34AE" w:rsidRDefault="002F64C6" w:rsidP="00866F12">
            <w:pPr>
              <w:jc w:val="both"/>
              <w:rPr>
                <w:rFonts w:asciiTheme="minorHAnsi" w:hAnsiTheme="minorHAnsi" w:cstheme="minorHAnsi"/>
                <w:sz w:val="22"/>
              </w:rPr>
            </w:pPr>
          </w:p>
        </w:tc>
      </w:tr>
      <w:tr w:rsidR="002F64C6" w:rsidRPr="002F64C6" w14:paraId="73AB0E8E" w14:textId="77777777" w:rsidTr="0025113D">
        <w:tc>
          <w:tcPr>
            <w:tcW w:w="4508" w:type="dxa"/>
          </w:tcPr>
          <w:p w14:paraId="4536C1EE" w14:textId="53CB9DB2" w:rsidR="002F64C6" w:rsidRPr="00ED34AE" w:rsidRDefault="002F64C6" w:rsidP="00866F12">
            <w:pPr>
              <w:pStyle w:val="Lijstalinea"/>
              <w:numPr>
                <w:ilvl w:val="0"/>
                <w:numId w:val="6"/>
              </w:numPr>
              <w:spacing w:before="0"/>
              <w:rPr>
                <w:rFonts w:asciiTheme="minorHAnsi" w:hAnsiTheme="minorHAnsi" w:cstheme="minorHAnsi"/>
                <w:lang w:val="fr-BE"/>
              </w:rPr>
            </w:pPr>
            <w:r w:rsidRPr="00ED34AE">
              <w:rPr>
                <w:rFonts w:asciiTheme="minorHAnsi" w:hAnsiTheme="minorHAnsi" w:cstheme="minorHAnsi"/>
                <w:color w:val="000000" w:themeColor="text1"/>
                <w:lang w:val="fr-BE"/>
              </w:rPr>
              <w:t>le contrôle de la loi télécom par l’Institut et les missions de contrôle des autorités compétentes pour la protection des données dans le cadre de leurs missions de contrôle (art. 127, § 2, 9° de la loi télécom).</w:t>
            </w:r>
          </w:p>
        </w:tc>
        <w:tc>
          <w:tcPr>
            <w:tcW w:w="4508" w:type="dxa"/>
          </w:tcPr>
          <w:p w14:paraId="60BAA725" w14:textId="23B32E2A" w:rsidR="00866F12" w:rsidRPr="00866F12" w:rsidRDefault="002F64C6" w:rsidP="00866F12">
            <w:pPr>
              <w:pStyle w:val="Lijstalinea"/>
              <w:numPr>
                <w:ilvl w:val="0"/>
                <w:numId w:val="6"/>
              </w:numPr>
              <w:spacing w:before="0"/>
              <w:rPr>
                <w:rFonts w:asciiTheme="minorHAnsi" w:hAnsiTheme="minorHAnsi" w:cstheme="minorHAnsi"/>
                <w:color w:val="000000" w:themeColor="text1"/>
                <w:lang w:val="nl-BE"/>
              </w:rPr>
            </w:pPr>
            <w:r w:rsidRPr="00866F12">
              <w:rPr>
                <w:rFonts w:asciiTheme="minorHAnsi" w:hAnsiTheme="minorHAnsi" w:cstheme="minorHAnsi"/>
                <w:color w:val="000000" w:themeColor="text1"/>
                <w:lang w:val="nl-BE"/>
              </w:rPr>
              <w:t>de controle van de telecomwet door het Instituut en de controleopdrachten van de autoriteiten die bevoegd zijn voor de gegevensbescherming in het kader van hun controleopdrachten (art. 127, § 2, 9°, van de telecomwet).</w:t>
            </w:r>
          </w:p>
        </w:tc>
      </w:tr>
      <w:tr w:rsidR="002F64C6" w:rsidRPr="002F64C6" w14:paraId="3CBC7837" w14:textId="77777777" w:rsidTr="0025113D">
        <w:tc>
          <w:tcPr>
            <w:tcW w:w="4508" w:type="dxa"/>
          </w:tcPr>
          <w:p w14:paraId="045A4ECE" w14:textId="77777777" w:rsidR="002F64C6" w:rsidRPr="00ED34AE" w:rsidRDefault="002F64C6" w:rsidP="00ED34AE">
            <w:pPr>
              <w:jc w:val="both"/>
              <w:rPr>
                <w:rFonts w:asciiTheme="minorHAnsi" w:hAnsiTheme="minorHAnsi" w:cstheme="minorHAnsi"/>
                <w:sz w:val="22"/>
              </w:rPr>
            </w:pPr>
          </w:p>
        </w:tc>
        <w:tc>
          <w:tcPr>
            <w:tcW w:w="4508" w:type="dxa"/>
          </w:tcPr>
          <w:p w14:paraId="178DF9FF" w14:textId="77777777" w:rsidR="002F64C6" w:rsidRPr="00ED34AE" w:rsidRDefault="002F64C6" w:rsidP="00ED34AE">
            <w:pPr>
              <w:jc w:val="both"/>
              <w:rPr>
                <w:rFonts w:asciiTheme="minorHAnsi" w:hAnsiTheme="minorHAnsi" w:cstheme="minorHAnsi"/>
                <w:sz w:val="22"/>
              </w:rPr>
            </w:pPr>
          </w:p>
        </w:tc>
      </w:tr>
      <w:tr w:rsidR="002F64C6" w:rsidRPr="002F64C6" w14:paraId="2E23BC62" w14:textId="77777777" w:rsidTr="0025113D">
        <w:tc>
          <w:tcPr>
            <w:tcW w:w="4508" w:type="dxa"/>
          </w:tcPr>
          <w:p w14:paraId="41EDB318" w14:textId="6D27B6C3" w:rsidR="002F64C6" w:rsidRPr="00ED34AE" w:rsidRDefault="002F64C6" w:rsidP="00ED34AE">
            <w:pPr>
              <w:jc w:val="both"/>
              <w:rPr>
                <w:rFonts w:asciiTheme="minorHAnsi" w:hAnsiTheme="minorHAnsi" w:cstheme="minorHAnsi"/>
                <w:sz w:val="22"/>
                <w:lang w:val="fr-BE"/>
              </w:rPr>
            </w:pPr>
            <w:r w:rsidRPr="00ED34AE">
              <w:rPr>
                <w:rFonts w:asciiTheme="minorHAnsi" w:hAnsiTheme="minorHAnsi" w:cstheme="minorHAnsi"/>
                <w:color w:val="000000" w:themeColor="text1"/>
                <w:sz w:val="22"/>
                <w:lang w:val="fr-BE"/>
              </w:rPr>
              <w:t>La communication de données relatives à l’abonné ou à l’utilisateur habituel du service ou de métadonnées des opérateurs est nécessaire notamment en cas de contrôle du respect par les opérateurs de leurs obligations en matière de protection des utilisateurs (p.ex. facturation détaillée</w:t>
            </w:r>
            <w:r w:rsidRPr="00ED34AE" w:rsidDel="00182673">
              <w:rPr>
                <w:rFonts w:asciiTheme="minorHAnsi" w:hAnsiTheme="minorHAnsi" w:cstheme="minorHAnsi"/>
                <w:color w:val="000000" w:themeColor="text1"/>
                <w:sz w:val="22"/>
                <w:lang w:val="fr-BE"/>
              </w:rPr>
              <w:t xml:space="preserve">), </w:t>
            </w:r>
            <w:r w:rsidRPr="00ED34AE">
              <w:rPr>
                <w:rFonts w:asciiTheme="minorHAnsi" w:hAnsiTheme="minorHAnsi" w:cstheme="minorHAnsi"/>
                <w:color w:val="000000" w:themeColor="text1"/>
                <w:sz w:val="22"/>
                <w:lang w:val="fr-BE"/>
              </w:rPr>
              <w:t>en matière de lutte contre les fraudes (article 121/6 de la loi télécom) ou en matière de sécurité des réseaux (article 107/2 et suivants de la loi télécom).</w:t>
            </w:r>
          </w:p>
        </w:tc>
        <w:tc>
          <w:tcPr>
            <w:tcW w:w="4508" w:type="dxa"/>
          </w:tcPr>
          <w:p w14:paraId="56FC7510" w14:textId="2BFED27B" w:rsidR="002F64C6" w:rsidRPr="00866F12" w:rsidRDefault="002F64C6" w:rsidP="00ED34AE">
            <w:pPr>
              <w:jc w:val="both"/>
              <w:rPr>
                <w:rFonts w:asciiTheme="minorHAnsi" w:hAnsiTheme="minorHAnsi" w:cstheme="minorHAnsi"/>
                <w:color w:val="000000" w:themeColor="text1"/>
                <w:sz w:val="22"/>
              </w:rPr>
            </w:pPr>
            <w:r w:rsidRPr="00ED34AE">
              <w:rPr>
                <w:rFonts w:asciiTheme="minorHAnsi" w:hAnsiTheme="minorHAnsi" w:cstheme="minorHAnsi"/>
                <w:color w:val="000000" w:themeColor="text1"/>
                <w:sz w:val="22"/>
              </w:rPr>
              <w:t>De mededeling van gegevens betreffende de abonnee of de gewoonlijke gebruiker van de dienst of van metagegevens van de operatoren is noodzakelijk, met name in geval van de controle of de operatoren hun verplichtingen naleven inzake bescherming van de gebruikers (bijv. gespecificeerde facturering), fraudebestrijding (artikel 121/6 van de telecomwet) of netwerkbeveiliging (artikel 107/2 en volgende van de telecomwet).</w:t>
            </w:r>
          </w:p>
        </w:tc>
      </w:tr>
      <w:tr w:rsidR="002F64C6" w:rsidRPr="002F64C6" w14:paraId="0D099B4F" w14:textId="77777777" w:rsidTr="0025113D">
        <w:tc>
          <w:tcPr>
            <w:tcW w:w="4508" w:type="dxa"/>
          </w:tcPr>
          <w:p w14:paraId="2BFEBFB7" w14:textId="77777777" w:rsidR="002F64C6" w:rsidRPr="00ED34AE" w:rsidRDefault="002F64C6" w:rsidP="00ED34AE">
            <w:pPr>
              <w:jc w:val="both"/>
              <w:rPr>
                <w:rFonts w:asciiTheme="minorHAnsi" w:hAnsiTheme="minorHAnsi" w:cstheme="minorHAnsi"/>
                <w:sz w:val="22"/>
              </w:rPr>
            </w:pPr>
          </w:p>
        </w:tc>
        <w:tc>
          <w:tcPr>
            <w:tcW w:w="4508" w:type="dxa"/>
          </w:tcPr>
          <w:p w14:paraId="670D873A" w14:textId="77777777" w:rsidR="002F64C6" w:rsidRPr="00ED34AE" w:rsidRDefault="002F64C6" w:rsidP="00ED34AE">
            <w:pPr>
              <w:jc w:val="both"/>
              <w:rPr>
                <w:rFonts w:asciiTheme="minorHAnsi" w:hAnsiTheme="minorHAnsi" w:cstheme="minorHAnsi"/>
                <w:sz w:val="22"/>
              </w:rPr>
            </w:pPr>
          </w:p>
        </w:tc>
      </w:tr>
      <w:tr w:rsidR="002F64C6" w:rsidRPr="002F64C6" w14:paraId="7CFCBFBF" w14:textId="77777777" w:rsidTr="0025113D">
        <w:tc>
          <w:tcPr>
            <w:tcW w:w="4508" w:type="dxa"/>
          </w:tcPr>
          <w:p w14:paraId="4497D401" w14:textId="6729B407" w:rsidR="002F64C6" w:rsidRPr="00ED34AE" w:rsidRDefault="002F64C6" w:rsidP="00ED34AE">
            <w:pPr>
              <w:jc w:val="both"/>
              <w:rPr>
                <w:rFonts w:asciiTheme="minorHAnsi" w:hAnsiTheme="minorHAnsi" w:cstheme="minorHAnsi"/>
                <w:sz w:val="22"/>
                <w:lang w:val="fr-BE"/>
              </w:rPr>
            </w:pPr>
            <w:r w:rsidRPr="00ED34AE">
              <w:rPr>
                <w:rFonts w:asciiTheme="minorHAnsi" w:hAnsiTheme="minorHAnsi" w:cstheme="minorHAnsi"/>
                <w:b/>
                <w:sz w:val="22"/>
                <w:u w:val="single"/>
                <w:lang w:val="fr-BE"/>
              </w:rPr>
              <w:t>Paragraphe 1</w:t>
            </w:r>
            <w:r w:rsidRPr="00ED34AE">
              <w:rPr>
                <w:rFonts w:asciiTheme="minorHAnsi" w:hAnsiTheme="minorHAnsi" w:cstheme="minorHAnsi"/>
                <w:b/>
                <w:sz w:val="22"/>
                <w:u w:val="single"/>
                <w:vertAlign w:val="superscript"/>
                <w:lang w:val="fr-BE"/>
              </w:rPr>
              <w:t>er</w:t>
            </w:r>
            <w:r w:rsidRPr="00ED34AE">
              <w:rPr>
                <w:rFonts w:asciiTheme="minorHAnsi" w:hAnsiTheme="minorHAnsi" w:cstheme="minorHAnsi"/>
                <w:b/>
                <w:sz w:val="22"/>
                <w:u w:val="single"/>
                <w:lang w:val="fr-BE"/>
              </w:rPr>
              <w:t xml:space="preserve"> : demande de données relatives à l’abonné ou l’utilisateur habituel du service  </w:t>
            </w:r>
          </w:p>
        </w:tc>
        <w:tc>
          <w:tcPr>
            <w:tcW w:w="4508" w:type="dxa"/>
          </w:tcPr>
          <w:p w14:paraId="0FAD0DF2" w14:textId="45EC58D8" w:rsidR="002F64C6" w:rsidRPr="00ED34AE" w:rsidRDefault="002F64C6" w:rsidP="00ED34AE">
            <w:pPr>
              <w:jc w:val="both"/>
              <w:rPr>
                <w:rFonts w:asciiTheme="minorHAnsi" w:hAnsiTheme="minorHAnsi" w:cstheme="minorHAnsi"/>
                <w:sz w:val="22"/>
              </w:rPr>
            </w:pPr>
            <w:r w:rsidRPr="00ED34AE">
              <w:rPr>
                <w:rFonts w:asciiTheme="minorHAnsi" w:hAnsiTheme="minorHAnsi" w:cstheme="minorHAnsi"/>
                <w:b/>
                <w:sz w:val="22"/>
                <w:u w:val="single"/>
              </w:rPr>
              <w:t>Paragraaf 1: verzoek om gegevens betreffende de abonnee of de gewoonlijke gebruiker van de dienst</w:t>
            </w:r>
          </w:p>
        </w:tc>
      </w:tr>
      <w:tr w:rsidR="002F64C6" w:rsidRPr="002F64C6" w14:paraId="69FC959B" w14:textId="77777777" w:rsidTr="0025113D">
        <w:tc>
          <w:tcPr>
            <w:tcW w:w="4508" w:type="dxa"/>
          </w:tcPr>
          <w:p w14:paraId="6775E6FD" w14:textId="77777777" w:rsidR="002F64C6" w:rsidRPr="00ED34AE" w:rsidRDefault="002F64C6" w:rsidP="00ED34AE">
            <w:pPr>
              <w:jc w:val="both"/>
              <w:rPr>
                <w:rFonts w:asciiTheme="minorHAnsi" w:hAnsiTheme="minorHAnsi" w:cstheme="minorHAnsi"/>
                <w:sz w:val="22"/>
              </w:rPr>
            </w:pPr>
          </w:p>
        </w:tc>
        <w:tc>
          <w:tcPr>
            <w:tcW w:w="4508" w:type="dxa"/>
          </w:tcPr>
          <w:p w14:paraId="312B6CE0" w14:textId="77777777" w:rsidR="002F64C6" w:rsidRPr="00ED34AE" w:rsidRDefault="002F64C6" w:rsidP="00ED34AE">
            <w:pPr>
              <w:jc w:val="both"/>
              <w:rPr>
                <w:rFonts w:asciiTheme="minorHAnsi" w:hAnsiTheme="minorHAnsi" w:cstheme="minorHAnsi"/>
                <w:sz w:val="22"/>
              </w:rPr>
            </w:pPr>
          </w:p>
        </w:tc>
      </w:tr>
      <w:tr w:rsidR="002F64C6" w:rsidRPr="002F64C6" w14:paraId="2A06D807" w14:textId="77777777" w:rsidTr="0025113D">
        <w:tc>
          <w:tcPr>
            <w:tcW w:w="4508" w:type="dxa"/>
          </w:tcPr>
          <w:p w14:paraId="1A04390C" w14:textId="78604E8E" w:rsidR="002F64C6" w:rsidRPr="00ED34AE" w:rsidRDefault="002F64C6" w:rsidP="00ED34AE">
            <w:pPr>
              <w:jc w:val="both"/>
              <w:rPr>
                <w:rFonts w:asciiTheme="minorHAnsi" w:hAnsiTheme="minorHAnsi" w:cstheme="minorHAnsi"/>
                <w:sz w:val="22"/>
                <w:lang w:val="fr-BE"/>
              </w:rPr>
            </w:pPr>
            <w:bookmarkStart w:id="16" w:name="_Hlk96420406"/>
            <w:r w:rsidRPr="00ED34AE">
              <w:rPr>
                <w:rFonts w:asciiTheme="minorHAnsi" w:hAnsiTheme="minorHAnsi" w:cstheme="minorHAnsi"/>
                <w:sz w:val="22"/>
                <w:lang w:val="fr-BE"/>
              </w:rPr>
              <w:t xml:space="preserve">Lorsque la demande concerne exclusivement des données relatives à  l’abonné ou à l’utilisateur habituel du service,  il est prévu que la demande motivée soit envoyée par l’Institut, dont le pouvoir de décision est exercé de façon collégiale par son Conseil. S’agissant de données considérées comme « moins intrusives » par la jurisprudence précitée, le contrôle interne de la demande est assuré par cet exercice collectif du pouvoir de décision.  </w:t>
            </w:r>
            <w:bookmarkEnd w:id="16"/>
          </w:p>
        </w:tc>
        <w:tc>
          <w:tcPr>
            <w:tcW w:w="4508" w:type="dxa"/>
          </w:tcPr>
          <w:p w14:paraId="2F0D3DC1" w14:textId="21B2A476" w:rsidR="002F64C6" w:rsidRPr="00ED34AE" w:rsidRDefault="002F64C6" w:rsidP="00ED34AE">
            <w:pPr>
              <w:jc w:val="both"/>
              <w:rPr>
                <w:rFonts w:asciiTheme="minorHAnsi" w:hAnsiTheme="minorHAnsi" w:cstheme="minorHAnsi"/>
                <w:sz w:val="22"/>
              </w:rPr>
            </w:pPr>
            <w:r w:rsidRPr="00ED34AE">
              <w:rPr>
                <w:rFonts w:asciiTheme="minorHAnsi" w:hAnsiTheme="minorHAnsi" w:cstheme="minorHAnsi"/>
                <w:sz w:val="22"/>
              </w:rPr>
              <w:t>Wanneer het verzoek uitsluitend betrekking heeft op gegevens betreffende de abonnee of de gewoonlijke gebruiker van de dienst, wordt bepaald dat het met redenen omkleed verzoek wordt verzonden door het Instituut, waarvan de beslissingsbevoegdheid collegiaal wordt uitgeoefend door zijn Raad. Omdat het gaat om gegevens die door de voormelde rechtspraak als “minder indringend” worden beschouwd, wordt de interne controle van het verzoek gewaarborgd door deze collectieve uitoefening van de beslissingsbevoegdheid.</w:t>
            </w:r>
          </w:p>
        </w:tc>
      </w:tr>
      <w:tr w:rsidR="002F64C6" w:rsidRPr="002F64C6" w14:paraId="04E2A853" w14:textId="77777777" w:rsidTr="0025113D">
        <w:tc>
          <w:tcPr>
            <w:tcW w:w="4508" w:type="dxa"/>
          </w:tcPr>
          <w:p w14:paraId="639A3FE2" w14:textId="77777777" w:rsidR="002F64C6" w:rsidRPr="00ED34AE" w:rsidRDefault="002F64C6" w:rsidP="00ED34AE">
            <w:pPr>
              <w:jc w:val="both"/>
              <w:rPr>
                <w:rFonts w:asciiTheme="minorHAnsi" w:hAnsiTheme="minorHAnsi" w:cstheme="minorHAnsi"/>
                <w:sz w:val="22"/>
              </w:rPr>
            </w:pPr>
          </w:p>
        </w:tc>
        <w:tc>
          <w:tcPr>
            <w:tcW w:w="4508" w:type="dxa"/>
          </w:tcPr>
          <w:p w14:paraId="2F91BBE9" w14:textId="77777777" w:rsidR="002F64C6" w:rsidRPr="00ED34AE" w:rsidRDefault="002F64C6" w:rsidP="00ED34AE">
            <w:pPr>
              <w:jc w:val="both"/>
              <w:rPr>
                <w:rFonts w:asciiTheme="minorHAnsi" w:hAnsiTheme="minorHAnsi" w:cstheme="minorHAnsi"/>
                <w:sz w:val="22"/>
              </w:rPr>
            </w:pPr>
          </w:p>
        </w:tc>
      </w:tr>
      <w:tr w:rsidR="002F64C6" w:rsidRPr="002F64C6" w14:paraId="35CE3DBE" w14:textId="77777777" w:rsidTr="0025113D">
        <w:tc>
          <w:tcPr>
            <w:tcW w:w="4508" w:type="dxa"/>
          </w:tcPr>
          <w:p w14:paraId="5E9CEECF" w14:textId="1D2A3A67" w:rsidR="002F64C6" w:rsidRPr="00ED34AE" w:rsidRDefault="002F64C6" w:rsidP="00ED34AE">
            <w:pPr>
              <w:jc w:val="both"/>
              <w:rPr>
                <w:rFonts w:asciiTheme="minorHAnsi" w:hAnsiTheme="minorHAnsi" w:cstheme="minorHAnsi"/>
                <w:sz w:val="22"/>
              </w:rPr>
            </w:pPr>
            <w:proofErr w:type="spellStart"/>
            <w:r w:rsidRPr="00ED34AE">
              <w:rPr>
                <w:rFonts w:asciiTheme="minorHAnsi" w:hAnsiTheme="minorHAnsi" w:cstheme="minorHAnsi"/>
                <w:b/>
                <w:sz w:val="22"/>
                <w:u w:val="single"/>
              </w:rPr>
              <w:t>Paragraphe</w:t>
            </w:r>
            <w:proofErr w:type="spellEnd"/>
            <w:r w:rsidRPr="00ED34AE">
              <w:rPr>
                <w:rFonts w:asciiTheme="minorHAnsi" w:hAnsiTheme="minorHAnsi" w:cstheme="minorHAnsi"/>
                <w:b/>
                <w:sz w:val="22"/>
                <w:u w:val="single"/>
              </w:rPr>
              <w:t xml:space="preserve"> 2: </w:t>
            </w:r>
            <w:proofErr w:type="spellStart"/>
            <w:r w:rsidRPr="00ED34AE">
              <w:rPr>
                <w:rFonts w:asciiTheme="minorHAnsi" w:hAnsiTheme="minorHAnsi" w:cstheme="minorHAnsi"/>
                <w:b/>
                <w:sz w:val="22"/>
                <w:u w:val="single"/>
              </w:rPr>
              <w:t>demande</w:t>
            </w:r>
            <w:proofErr w:type="spellEnd"/>
            <w:r w:rsidRPr="00ED34AE">
              <w:rPr>
                <w:rFonts w:asciiTheme="minorHAnsi" w:hAnsiTheme="minorHAnsi" w:cstheme="minorHAnsi"/>
                <w:b/>
                <w:sz w:val="22"/>
                <w:u w:val="single"/>
              </w:rPr>
              <w:t xml:space="preserve"> de </w:t>
            </w:r>
            <w:proofErr w:type="spellStart"/>
            <w:r w:rsidRPr="00ED34AE">
              <w:rPr>
                <w:rFonts w:asciiTheme="minorHAnsi" w:hAnsiTheme="minorHAnsi" w:cstheme="minorHAnsi"/>
                <w:b/>
                <w:sz w:val="22"/>
                <w:u w:val="single"/>
              </w:rPr>
              <w:t>métadonnées</w:t>
            </w:r>
            <w:proofErr w:type="spellEnd"/>
            <w:r w:rsidRPr="00ED34AE">
              <w:rPr>
                <w:rFonts w:asciiTheme="minorHAnsi" w:hAnsiTheme="minorHAnsi" w:cstheme="minorHAnsi"/>
                <w:b/>
                <w:sz w:val="22"/>
                <w:u w:val="single"/>
              </w:rPr>
              <w:t xml:space="preserve"> </w:t>
            </w:r>
          </w:p>
        </w:tc>
        <w:tc>
          <w:tcPr>
            <w:tcW w:w="4508" w:type="dxa"/>
          </w:tcPr>
          <w:p w14:paraId="458260F4" w14:textId="780F52A3" w:rsidR="002F64C6" w:rsidRPr="00ED34AE" w:rsidRDefault="002F64C6" w:rsidP="00ED34AE">
            <w:pPr>
              <w:jc w:val="both"/>
              <w:rPr>
                <w:rFonts w:asciiTheme="minorHAnsi" w:hAnsiTheme="minorHAnsi" w:cstheme="minorHAnsi"/>
                <w:sz w:val="22"/>
              </w:rPr>
            </w:pPr>
            <w:r w:rsidRPr="00ED34AE">
              <w:rPr>
                <w:rFonts w:asciiTheme="minorHAnsi" w:hAnsiTheme="minorHAnsi" w:cstheme="minorHAnsi"/>
                <w:b/>
                <w:sz w:val="22"/>
                <w:u w:val="single"/>
              </w:rPr>
              <w:t>Paragraaf 2: verzoek om metagegevens</w:t>
            </w:r>
          </w:p>
        </w:tc>
      </w:tr>
      <w:tr w:rsidR="002F64C6" w:rsidRPr="00AD32FE" w14:paraId="04188589" w14:textId="77777777" w:rsidTr="0025113D">
        <w:tc>
          <w:tcPr>
            <w:tcW w:w="4508" w:type="dxa"/>
          </w:tcPr>
          <w:p w14:paraId="44237857" w14:textId="77777777" w:rsidR="002F64C6" w:rsidRPr="00AD32FE" w:rsidRDefault="002F64C6" w:rsidP="00ED34AE">
            <w:pPr>
              <w:jc w:val="both"/>
              <w:rPr>
                <w:rFonts w:asciiTheme="minorHAnsi" w:hAnsiTheme="minorHAnsi" w:cstheme="minorHAnsi"/>
                <w:sz w:val="22"/>
              </w:rPr>
            </w:pPr>
          </w:p>
        </w:tc>
        <w:tc>
          <w:tcPr>
            <w:tcW w:w="4508" w:type="dxa"/>
          </w:tcPr>
          <w:p w14:paraId="1FCC850A" w14:textId="77777777" w:rsidR="002F64C6" w:rsidRPr="00AD32FE" w:rsidRDefault="002F64C6" w:rsidP="00ED34AE">
            <w:pPr>
              <w:jc w:val="both"/>
              <w:rPr>
                <w:rFonts w:asciiTheme="minorHAnsi" w:hAnsiTheme="minorHAnsi" w:cstheme="minorHAnsi"/>
                <w:sz w:val="22"/>
              </w:rPr>
            </w:pPr>
          </w:p>
        </w:tc>
      </w:tr>
      <w:tr w:rsidR="00ED34AE" w:rsidRPr="00AD32FE" w14:paraId="039BA401" w14:textId="77777777" w:rsidTr="0025113D">
        <w:tc>
          <w:tcPr>
            <w:tcW w:w="4508" w:type="dxa"/>
          </w:tcPr>
          <w:p w14:paraId="3BC79563" w14:textId="76257BAF" w:rsidR="00ED34AE" w:rsidRPr="00AD32FE" w:rsidRDefault="00ED34AE" w:rsidP="00ED34AE">
            <w:pPr>
              <w:jc w:val="both"/>
              <w:rPr>
                <w:rFonts w:asciiTheme="minorHAnsi" w:hAnsiTheme="minorHAnsi" w:cstheme="minorHAnsi"/>
                <w:sz w:val="22"/>
                <w:lang w:val="fr-BE"/>
              </w:rPr>
            </w:pPr>
            <w:r w:rsidRPr="00AD32FE">
              <w:rPr>
                <w:rFonts w:asciiTheme="minorHAnsi" w:hAnsiTheme="minorHAnsi" w:cstheme="minorHAnsi"/>
                <w:sz w:val="22"/>
                <w:lang w:val="fr-BE"/>
              </w:rPr>
              <w:t xml:space="preserve">Le paragraphe 2 vise l’application et le contrôle des mêmes normes que celles visées </w:t>
            </w:r>
            <w:r w:rsidRPr="00AD32FE">
              <w:rPr>
                <w:rFonts w:asciiTheme="minorHAnsi" w:hAnsiTheme="minorHAnsi" w:cstheme="minorHAnsi"/>
                <w:color w:val="000000" w:themeColor="text1"/>
                <w:sz w:val="22"/>
                <w:lang w:val="fr-BE"/>
              </w:rPr>
              <w:t>au paragraphe 1</w:t>
            </w:r>
            <w:r w:rsidRPr="00AD32FE">
              <w:rPr>
                <w:rFonts w:asciiTheme="minorHAnsi" w:hAnsiTheme="minorHAnsi" w:cstheme="minorHAnsi"/>
                <w:color w:val="000000" w:themeColor="text1"/>
                <w:sz w:val="22"/>
                <w:vertAlign w:val="superscript"/>
                <w:lang w:val="fr-BE"/>
              </w:rPr>
              <w:t>er</w:t>
            </w:r>
            <w:r w:rsidRPr="00AD32FE">
              <w:rPr>
                <w:rFonts w:asciiTheme="minorHAnsi" w:hAnsiTheme="minorHAnsi" w:cstheme="minorHAnsi"/>
                <w:sz w:val="22"/>
                <w:lang w:val="fr-BE"/>
              </w:rPr>
              <w:t xml:space="preserve"> lorsque ces mêmes missions nécessitent la communication de certaines métadonnées, autres que celles visées au paragraphe 1</w:t>
            </w:r>
            <w:r w:rsidRPr="00AD32FE">
              <w:rPr>
                <w:rFonts w:asciiTheme="minorHAnsi" w:hAnsiTheme="minorHAnsi" w:cstheme="minorHAnsi"/>
                <w:sz w:val="22"/>
                <w:vertAlign w:val="superscript"/>
                <w:lang w:val="fr-BE"/>
              </w:rPr>
              <w:t>er</w:t>
            </w:r>
            <w:r w:rsidRPr="00AD32FE">
              <w:rPr>
                <w:rFonts w:asciiTheme="minorHAnsi" w:hAnsiTheme="minorHAnsi" w:cstheme="minorHAnsi"/>
                <w:sz w:val="22"/>
                <w:lang w:val="fr-BE"/>
              </w:rPr>
              <w:t xml:space="preserve"> et considérées comme « plus intrusives »</w:t>
            </w:r>
            <w:r w:rsidRPr="00AD32FE" w:rsidDel="0072271F">
              <w:rPr>
                <w:rFonts w:asciiTheme="minorHAnsi" w:hAnsiTheme="minorHAnsi" w:cstheme="minorHAnsi"/>
                <w:sz w:val="22"/>
                <w:lang w:val="fr-BE"/>
              </w:rPr>
              <w:t xml:space="preserve"> </w:t>
            </w:r>
            <w:r w:rsidRPr="00AD32FE">
              <w:rPr>
                <w:rFonts w:asciiTheme="minorHAnsi" w:hAnsiTheme="minorHAnsi" w:cstheme="minorHAnsi"/>
                <w:sz w:val="22"/>
                <w:lang w:val="fr-BE"/>
              </w:rPr>
              <w:t>par la jurisprudence précitée.</w:t>
            </w:r>
          </w:p>
        </w:tc>
        <w:tc>
          <w:tcPr>
            <w:tcW w:w="4508" w:type="dxa"/>
          </w:tcPr>
          <w:p w14:paraId="72BACEC7" w14:textId="1706D872" w:rsidR="00ED34AE" w:rsidRPr="00AD32FE" w:rsidRDefault="00ED34AE" w:rsidP="00ED34AE">
            <w:pPr>
              <w:jc w:val="both"/>
              <w:rPr>
                <w:rFonts w:asciiTheme="minorHAnsi" w:hAnsiTheme="minorHAnsi" w:cstheme="minorHAnsi"/>
                <w:sz w:val="22"/>
              </w:rPr>
            </w:pPr>
            <w:r w:rsidRPr="00AD32FE">
              <w:rPr>
                <w:rFonts w:asciiTheme="minorHAnsi" w:hAnsiTheme="minorHAnsi" w:cstheme="minorHAnsi"/>
                <w:sz w:val="22"/>
              </w:rPr>
              <w:t>Paragraaf 2 beoogt de toepassing en de controle van dezelfde normen als diegene die beoogd worden in paragraaf 1, wanneer diezelfde opdrachten nopen tot de mededeling van sommige metagegevens, andere dan die welke in paragraaf 1 worden beoogd en die door de voormelde rechtspraak beschouwd worden als “indringender”.</w:t>
            </w:r>
          </w:p>
        </w:tc>
      </w:tr>
      <w:tr w:rsidR="00ED34AE" w:rsidRPr="00AD32FE" w14:paraId="0E1F016F" w14:textId="77777777" w:rsidTr="0025113D">
        <w:tc>
          <w:tcPr>
            <w:tcW w:w="4508" w:type="dxa"/>
          </w:tcPr>
          <w:p w14:paraId="5F817726" w14:textId="77777777" w:rsidR="00ED34AE" w:rsidRPr="00AD32FE" w:rsidRDefault="00ED34AE" w:rsidP="00ED34AE">
            <w:pPr>
              <w:jc w:val="both"/>
              <w:rPr>
                <w:rFonts w:asciiTheme="minorHAnsi" w:hAnsiTheme="minorHAnsi" w:cstheme="minorHAnsi"/>
                <w:sz w:val="22"/>
              </w:rPr>
            </w:pPr>
          </w:p>
        </w:tc>
        <w:tc>
          <w:tcPr>
            <w:tcW w:w="4508" w:type="dxa"/>
          </w:tcPr>
          <w:p w14:paraId="04C4D4A9" w14:textId="77777777" w:rsidR="00ED34AE" w:rsidRPr="00AD32FE" w:rsidRDefault="00ED34AE" w:rsidP="00ED34AE">
            <w:pPr>
              <w:jc w:val="both"/>
              <w:rPr>
                <w:rFonts w:asciiTheme="minorHAnsi" w:hAnsiTheme="minorHAnsi" w:cstheme="minorHAnsi"/>
                <w:sz w:val="22"/>
              </w:rPr>
            </w:pPr>
          </w:p>
        </w:tc>
      </w:tr>
      <w:tr w:rsidR="00ED34AE" w:rsidRPr="00AD32FE" w14:paraId="58323F6F" w14:textId="77777777" w:rsidTr="0025113D">
        <w:tc>
          <w:tcPr>
            <w:tcW w:w="4508" w:type="dxa"/>
          </w:tcPr>
          <w:p w14:paraId="00EB5BCF" w14:textId="7CAA483B" w:rsidR="00ED34AE" w:rsidRPr="00AD32FE" w:rsidRDefault="00ED34AE" w:rsidP="00ED34AE">
            <w:pPr>
              <w:jc w:val="both"/>
              <w:rPr>
                <w:rFonts w:asciiTheme="minorHAnsi" w:hAnsiTheme="minorHAnsi" w:cstheme="minorHAnsi"/>
                <w:sz w:val="22"/>
                <w:lang w:val="fr-BE"/>
              </w:rPr>
            </w:pPr>
            <w:r w:rsidRPr="00AD32FE">
              <w:rPr>
                <w:rFonts w:asciiTheme="minorHAnsi" w:hAnsiTheme="minorHAnsi" w:cstheme="minorHAnsi"/>
                <w:sz w:val="22"/>
                <w:lang w:val="fr-BE"/>
              </w:rPr>
              <w:t>Dans son arrêt du 18 novembre 2021 précité, la Cour constitutionnelle a rappelé que, s’agissant de telles données, la Cour de justice de l’Union européenne et la Cour européenne des droits de l’homme exigent un contrôle judiciaire ou administratif préalable (« contrôle externe »). Dans ce contexte, et de manière à pouvoir rencontrer cette condition, le gouvernement a décidé de confier cette tâche à l’Autorité de protection des données.  À cet effet, certaines modifications seront apportées à la loi du 3 décembre 2017 portant création de l’Autorité de protection des données de manière à préciser la procédure applicable.</w:t>
            </w:r>
          </w:p>
        </w:tc>
        <w:tc>
          <w:tcPr>
            <w:tcW w:w="4508" w:type="dxa"/>
          </w:tcPr>
          <w:p w14:paraId="602DCD85" w14:textId="2D7A99BF" w:rsidR="00ED34AE" w:rsidRPr="00AD32FE" w:rsidRDefault="00ED34AE" w:rsidP="00ED34AE">
            <w:pPr>
              <w:jc w:val="both"/>
              <w:rPr>
                <w:rFonts w:asciiTheme="minorHAnsi" w:hAnsiTheme="minorHAnsi" w:cstheme="minorHAnsi"/>
                <w:sz w:val="22"/>
              </w:rPr>
            </w:pPr>
            <w:r w:rsidRPr="00AD32FE">
              <w:rPr>
                <w:rFonts w:asciiTheme="minorHAnsi" w:hAnsiTheme="minorHAnsi" w:cstheme="minorHAnsi"/>
                <w:sz w:val="22"/>
              </w:rPr>
              <w:t xml:space="preserve">In zijn voormelde arrest van 18 november 2021 heeft het Grondwettelijk Hof eraan herinnerd dat wat dergelijke gegevens betreft </w:t>
            </w:r>
            <w:r w:rsidR="00516CCD" w:rsidRPr="00AD32FE">
              <w:rPr>
                <w:rFonts w:asciiTheme="minorHAnsi" w:hAnsiTheme="minorHAnsi" w:cstheme="minorHAnsi"/>
                <w:sz w:val="22"/>
              </w:rPr>
              <w:t xml:space="preserve">het </w:t>
            </w:r>
            <w:r w:rsidRPr="00AD32FE">
              <w:rPr>
                <w:rFonts w:asciiTheme="minorHAnsi" w:hAnsiTheme="minorHAnsi" w:cstheme="minorHAnsi"/>
                <w:sz w:val="22"/>
              </w:rPr>
              <w:t>Hof van Justitie van de Europese Unie en het Europees Hof voor de Rechten van de Mens een voorafgaande gerechtelijke of administratieve controle (“externe controle”) eisen. In die context en om aan die voorwaarden te kunnen voldoen heeft de regering beslist om die taak toe te vertrouwen aan de Gegevensbeschermingsautoriteit.  Daartoe zullen een aantal wijzigingen worden aangebracht in de wet van 3 december 2017 tot oprichting van de Gegevensbeschermingsautoriteit, om de toepasselijke procedure te verduidelijken.</w:t>
            </w:r>
          </w:p>
        </w:tc>
      </w:tr>
      <w:tr w:rsidR="00ED34AE" w:rsidRPr="00AD32FE" w14:paraId="0241D5FE" w14:textId="77777777" w:rsidTr="0025113D">
        <w:tc>
          <w:tcPr>
            <w:tcW w:w="4508" w:type="dxa"/>
          </w:tcPr>
          <w:p w14:paraId="1AB85BA5" w14:textId="77777777" w:rsidR="00ED34AE" w:rsidRPr="00AD32FE" w:rsidRDefault="00ED34AE" w:rsidP="00ED34AE">
            <w:pPr>
              <w:jc w:val="both"/>
              <w:rPr>
                <w:rFonts w:asciiTheme="minorHAnsi" w:hAnsiTheme="minorHAnsi" w:cstheme="minorHAnsi"/>
                <w:sz w:val="22"/>
              </w:rPr>
            </w:pPr>
          </w:p>
        </w:tc>
        <w:tc>
          <w:tcPr>
            <w:tcW w:w="4508" w:type="dxa"/>
          </w:tcPr>
          <w:p w14:paraId="2DA08602" w14:textId="77777777" w:rsidR="00ED34AE" w:rsidRPr="00AD32FE" w:rsidRDefault="00ED34AE" w:rsidP="00ED34AE">
            <w:pPr>
              <w:jc w:val="both"/>
              <w:rPr>
                <w:rFonts w:asciiTheme="minorHAnsi" w:hAnsiTheme="minorHAnsi" w:cstheme="minorHAnsi"/>
                <w:sz w:val="22"/>
              </w:rPr>
            </w:pPr>
          </w:p>
        </w:tc>
      </w:tr>
      <w:tr w:rsidR="00ED34AE" w:rsidRPr="002F64C6" w14:paraId="0DB4B54B" w14:textId="77777777" w:rsidTr="0025113D">
        <w:tc>
          <w:tcPr>
            <w:tcW w:w="4508" w:type="dxa"/>
          </w:tcPr>
          <w:p w14:paraId="32BB2DE4" w14:textId="15711ECD" w:rsidR="00ED34AE" w:rsidRPr="00ED34AE" w:rsidRDefault="00ED34AE" w:rsidP="00ED34AE">
            <w:pPr>
              <w:jc w:val="both"/>
              <w:rPr>
                <w:rFonts w:asciiTheme="minorHAnsi" w:hAnsiTheme="minorHAnsi" w:cstheme="minorHAnsi"/>
                <w:sz w:val="22"/>
              </w:rPr>
            </w:pPr>
            <w:proofErr w:type="spellStart"/>
            <w:r w:rsidRPr="00ED34AE">
              <w:rPr>
                <w:rFonts w:asciiTheme="minorHAnsi" w:hAnsiTheme="minorHAnsi" w:cstheme="minorHAnsi"/>
                <w:b/>
                <w:sz w:val="22"/>
                <w:u w:val="single"/>
              </w:rPr>
              <w:t>Paragraphe</w:t>
            </w:r>
            <w:proofErr w:type="spellEnd"/>
            <w:r w:rsidRPr="00ED34AE">
              <w:rPr>
                <w:rFonts w:asciiTheme="minorHAnsi" w:hAnsiTheme="minorHAnsi" w:cstheme="minorHAnsi"/>
                <w:b/>
                <w:sz w:val="22"/>
                <w:u w:val="single"/>
              </w:rPr>
              <w:t xml:space="preserve"> 3 : </w:t>
            </w:r>
            <w:proofErr w:type="spellStart"/>
            <w:r w:rsidRPr="00ED34AE">
              <w:rPr>
                <w:rFonts w:asciiTheme="minorHAnsi" w:hAnsiTheme="minorHAnsi" w:cstheme="minorHAnsi"/>
                <w:b/>
                <w:sz w:val="22"/>
                <w:u w:val="single"/>
              </w:rPr>
              <w:t>contrôle</w:t>
            </w:r>
            <w:proofErr w:type="spellEnd"/>
            <w:r w:rsidRPr="00ED34AE">
              <w:rPr>
                <w:rFonts w:asciiTheme="minorHAnsi" w:hAnsiTheme="minorHAnsi" w:cstheme="minorHAnsi"/>
                <w:b/>
                <w:sz w:val="22"/>
                <w:u w:val="single"/>
              </w:rPr>
              <w:t xml:space="preserve"> de </w:t>
            </w:r>
            <w:proofErr w:type="spellStart"/>
            <w:r w:rsidRPr="00ED34AE">
              <w:rPr>
                <w:rFonts w:asciiTheme="minorHAnsi" w:hAnsiTheme="minorHAnsi" w:cstheme="minorHAnsi"/>
                <w:b/>
                <w:sz w:val="22"/>
                <w:u w:val="single"/>
              </w:rPr>
              <w:t>l’opérateur</w:t>
            </w:r>
            <w:proofErr w:type="spellEnd"/>
          </w:p>
        </w:tc>
        <w:tc>
          <w:tcPr>
            <w:tcW w:w="4508" w:type="dxa"/>
          </w:tcPr>
          <w:p w14:paraId="51DC5BA5" w14:textId="2FB765CE" w:rsidR="00ED34AE" w:rsidRPr="00ED34AE" w:rsidRDefault="00ED34AE" w:rsidP="00ED34AE">
            <w:pPr>
              <w:jc w:val="both"/>
              <w:rPr>
                <w:rFonts w:asciiTheme="minorHAnsi" w:hAnsiTheme="minorHAnsi" w:cstheme="minorHAnsi"/>
                <w:sz w:val="22"/>
              </w:rPr>
            </w:pPr>
            <w:r w:rsidRPr="00ED34AE">
              <w:rPr>
                <w:rFonts w:asciiTheme="minorHAnsi" w:hAnsiTheme="minorHAnsi" w:cstheme="minorHAnsi"/>
                <w:b/>
                <w:sz w:val="22"/>
                <w:u w:val="single"/>
              </w:rPr>
              <w:t>Paragraaf 3: controle van de operator</w:t>
            </w:r>
          </w:p>
        </w:tc>
      </w:tr>
      <w:tr w:rsidR="00ED34AE" w:rsidRPr="002F64C6" w14:paraId="7BBC1633" w14:textId="77777777" w:rsidTr="0025113D">
        <w:tc>
          <w:tcPr>
            <w:tcW w:w="4508" w:type="dxa"/>
          </w:tcPr>
          <w:p w14:paraId="735A0B96" w14:textId="77777777" w:rsidR="00ED34AE" w:rsidRPr="00ED34AE" w:rsidRDefault="00ED34AE" w:rsidP="00ED34AE">
            <w:pPr>
              <w:jc w:val="both"/>
              <w:rPr>
                <w:rFonts w:asciiTheme="minorHAnsi" w:hAnsiTheme="minorHAnsi" w:cstheme="minorHAnsi"/>
                <w:sz w:val="22"/>
              </w:rPr>
            </w:pPr>
          </w:p>
        </w:tc>
        <w:tc>
          <w:tcPr>
            <w:tcW w:w="4508" w:type="dxa"/>
          </w:tcPr>
          <w:p w14:paraId="607B781F" w14:textId="77777777" w:rsidR="00ED34AE" w:rsidRPr="00ED34AE" w:rsidRDefault="00ED34AE" w:rsidP="00ED34AE">
            <w:pPr>
              <w:jc w:val="both"/>
              <w:rPr>
                <w:rFonts w:asciiTheme="minorHAnsi" w:hAnsiTheme="minorHAnsi" w:cstheme="minorHAnsi"/>
                <w:sz w:val="22"/>
              </w:rPr>
            </w:pPr>
          </w:p>
        </w:tc>
      </w:tr>
      <w:tr w:rsidR="00ED34AE" w:rsidRPr="002F64C6" w14:paraId="4DC5FC7E" w14:textId="77777777" w:rsidTr="0025113D">
        <w:tc>
          <w:tcPr>
            <w:tcW w:w="4508" w:type="dxa"/>
          </w:tcPr>
          <w:p w14:paraId="79AC93AA" w14:textId="4B954425" w:rsidR="00ED34AE" w:rsidRPr="00ED34AE" w:rsidRDefault="00ED34AE" w:rsidP="00ED34AE">
            <w:pPr>
              <w:jc w:val="both"/>
              <w:rPr>
                <w:rFonts w:asciiTheme="minorHAnsi" w:hAnsiTheme="minorHAnsi" w:cstheme="minorHAnsi"/>
                <w:sz w:val="22"/>
                <w:lang w:val="fr-BE"/>
              </w:rPr>
            </w:pPr>
            <w:r w:rsidRPr="00ED34AE">
              <w:rPr>
                <w:rFonts w:asciiTheme="minorHAnsi" w:hAnsiTheme="minorHAnsi" w:cstheme="minorHAnsi"/>
                <w:sz w:val="22"/>
                <w:lang w:val="fr-BE"/>
              </w:rPr>
              <w:t>Le paragraphe 3 vise la situation spécifique dans laquelle l’IBPT agit en tant qu’autorité de contrôle des dispositions nationales prises en application de la directive 2002/58 (« </w:t>
            </w:r>
            <w:proofErr w:type="spellStart"/>
            <w:r w:rsidRPr="00ED34AE">
              <w:rPr>
                <w:rFonts w:asciiTheme="minorHAnsi" w:hAnsiTheme="minorHAnsi" w:cstheme="minorHAnsi"/>
                <w:sz w:val="22"/>
                <w:lang w:val="fr-BE"/>
              </w:rPr>
              <w:t>eprivacy</w:t>
            </w:r>
            <w:proofErr w:type="spellEnd"/>
            <w:r w:rsidRPr="00ED34AE">
              <w:rPr>
                <w:rFonts w:asciiTheme="minorHAnsi" w:hAnsiTheme="minorHAnsi" w:cstheme="minorHAnsi"/>
                <w:sz w:val="22"/>
                <w:lang w:val="fr-BE"/>
              </w:rPr>
              <w:t xml:space="preserve"> »), à savoir les dispositions prévues sous le Titre IV, Chapitre III, Section 2 de la loi télécom « Secret des communications, traitement des données et protection de la vie privée ». </w:t>
            </w:r>
          </w:p>
        </w:tc>
        <w:tc>
          <w:tcPr>
            <w:tcW w:w="4508" w:type="dxa"/>
          </w:tcPr>
          <w:p w14:paraId="6CA9EBBF" w14:textId="38641F33" w:rsidR="00ED34AE" w:rsidRPr="00ED34AE" w:rsidRDefault="00ED34AE" w:rsidP="00ED34AE">
            <w:pPr>
              <w:jc w:val="both"/>
              <w:rPr>
                <w:rFonts w:asciiTheme="minorHAnsi" w:hAnsiTheme="minorHAnsi" w:cstheme="minorHAnsi"/>
                <w:sz w:val="22"/>
              </w:rPr>
            </w:pPr>
            <w:r w:rsidRPr="00ED34AE">
              <w:rPr>
                <w:rFonts w:asciiTheme="minorHAnsi" w:hAnsiTheme="minorHAnsi" w:cstheme="minorHAnsi"/>
                <w:sz w:val="22"/>
              </w:rPr>
              <w:t>Paragraaf 3 beoogt de specifieke situatie waarin het BIPT optreedt als controleoverheid van de nationale bepalingen genomen in toepassing van Richtlijn 2002/58 (“</w:t>
            </w:r>
            <w:proofErr w:type="spellStart"/>
            <w:r w:rsidRPr="00ED34AE">
              <w:rPr>
                <w:rFonts w:asciiTheme="minorHAnsi" w:hAnsiTheme="minorHAnsi" w:cstheme="minorHAnsi"/>
                <w:sz w:val="22"/>
              </w:rPr>
              <w:t>eprivacy</w:t>
            </w:r>
            <w:proofErr w:type="spellEnd"/>
            <w:r w:rsidRPr="00ED34AE">
              <w:rPr>
                <w:rFonts w:asciiTheme="minorHAnsi" w:hAnsiTheme="minorHAnsi" w:cstheme="minorHAnsi"/>
                <w:sz w:val="22"/>
              </w:rPr>
              <w:t xml:space="preserve">”), namelijk de bepalingen vastgesteld in Titel IV, Hoofdstuk III, Afdeling 2 van de telecomwet “Geheimhouding van de communicatie, verwerking van de gegevens en  bescherming van de persoonlijke levenssfeer”. </w:t>
            </w:r>
          </w:p>
        </w:tc>
      </w:tr>
      <w:tr w:rsidR="00ED34AE" w:rsidRPr="002F64C6" w14:paraId="33C9D53D" w14:textId="77777777" w:rsidTr="0025113D">
        <w:tc>
          <w:tcPr>
            <w:tcW w:w="4508" w:type="dxa"/>
          </w:tcPr>
          <w:p w14:paraId="6316E245" w14:textId="77777777" w:rsidR="00ED34AE" w:rsidRPr="003A24C7" w:rsidRDefault="00ED34AE" w:rsidP="00ED34AE">
            <w:pPr>
              <w:jc w:val="both"/>
              <w:rPr>
                <w:rFonts w:asciiTheme="minorHAnsi" w:hAnsiTheme="minorHAnsi" w:cstheme="minorHAnsi"/>
                <w:sz w:val="22"/>
              </w:rPr>
            </w:pPr>
          </w:p>
        </w:tc>
        <w:tc>
          <w:tcPr>
            <w:tcW w:w="4508" w:type="dxa"/>
          </w:tcPr>
          <w:p w14:paraId="7FF34C7A" w14:textId="77777777" w:rsidR="00ED34AE" w:rsidRPr="00ED34AE" w:rsidRDefault="00ED34AE" w:rsidP="00ED34AE">
            <w:pPr>
              <w:jc w:val="both"/>
              <w:rPr>
                <w:rFonts w:asciiTheme="minorHAnsi" w:hAnsiTheme="minorHAnsi" w:cstheme="minorHAnsi"/>
                <w:sz w:val="22"/>
              </w:rPr>
            </w:pPr>
          </w:p>
        </w:tc>
      </w:tr>
      <w:tr w:rsidR="00ED34AE" w:rsidRPr="002F64C6" w14:paraId="0653D0C4" w14:textId="77777777" w:rsidTr="0025113D">
        <w:tc>
          <w:tcPr>
            <w:tcW w:w="4508" w:type="dxa"/>
          </w:tcPr>
          <w:p w14:paraId="3F743C39" w14:textId="740DC69C" w:rsidR="00ED34AE" w:rsidRPr="00ED34AE" w:rsidRDefault="00ED34AE" w:rsidP="00ED34AE">
            <w:pPr>
              <w:jc w:val="both"/>
              <w:rPr>
                <w:rFonts w:asciiTheme="minorHAnsi" w:hAnsiTheme="minorHAnsi" w:cstheme="minorHAnsi"/>
                <w:sz w:val="22"/>
                <w:lang w:val="fr-BE"/>
              </w:rPr>
            </w:pPr>
            <w:r w:rsidRPr="00ED34AE">
              <w:rPr>
                <w:rFonts w:asciiTheme="minorHAnsi" w:hAnsiTheme="minorHAnsi" w:cstheme="minorHAnsi"/>
                <w:sz w:val="22"/>
                <w:lang w:val="fr-BE"/>
              </w:rPr>
              <w:t>L’article 15bis, § 3 de la directive prévoit que « </w:t>
            </w:r>
            <w:r w:rsidRPr="00ED34AE">
              <w:rPr>
                <w:rFonts w:asciiTheme="minorHAnsi" w:hAnsiTheme="minorHAnsi" w:cstheme="minorHAnsi"/>
                <w:i/>
                <w:iCs/>
                <w:sz w:val="22"/>
                <w:lang w:val="fr-BE"/>
              </w:rPr>
              <w:t>Les États membres veillent à ce que l’autorité nationale compétente et, le cas échéant, d’autres organismes nationaux disposent des pouvoirs d’enquête et des ressources nécessaires, et notamment du pouvoir d’obtenir toute information pertinente dont ils pourraient avoir besoin, afin de surveiller et de contrôler le respect des dispositions nationales adoptées en application de la présente directive</w:t>
            </w:r>
            <w:r w:rsidRPr="00ED34AE">
              <w:rPr>
                <w:rFonts w:asciiTheme="minorHAnsi" w:hAnsiTheme="minorHAnsi" w:cstheme="minorHAnsi"/>
                <w:sz w:val="22"/>
                <w:lang w:val="fr-BE"/>
              </w:rPr>
              <w:t>. »</w:t>
            </w:r>
          </w:p>
        </w:tc>
        <w:tc>
          <w:tcPr>
            <w:tcW w:w="4508" w:type="dxa"/>
          </w:tcPr>
          <w:p w14:paraId="6937375D" w14:textId="4F893BC4" w:rsidR="00ED34AE" w:rsidRPr="00ED34AE" w:rsidRDefault="00ED34AE" w:rsidP="00ED34AE">
            <w:pPr>
              <w:jc w:val="both"/>
              <w:rPr>
                <w:rFonts w:asciiTheme="minorHAnsi" w:hAnsiTheme="minorHAnsi" w:cstheme="minorHAnsi"/>
                <w:sz w:val="22"/>
              </w:rPr>
            </w:pPr>
            <w:r w:rsidRPr="00ED34AE">
              <w:rPr>
                <w:rFonts w:asciiTheme="minorHAnsi" w:hAnsiTheme="minorHAnsi" w:cstheme="minorHAnsi"/>
                <w:sz w:val="22"/>
              </w:rPr>
              <w:t>Artikel 15bis, § 3, van de richtlijn schrijft voor: “</w:t>
            </w:r>
            <w:r w:rsidRPr="00ED34AE">
              <w:rPr>
                <w:rFonts w:asciiTheme="minorHAnsi" w:hAnsiTheme="minorHAnsi" w:cstheme="minorHAnsi"/>
                <w:i/>
                <w:sz w:val="22"/>
              </w:rPr>
              <w:t>De lidstaten zorgen ervoor dat de bevoegde nationale instantie in voorkomend geval, andere nationale organen over de nodige onderzoeksbevoegdheden en -middelen beschikken, met inbegrip van de bevoegdheid alle relevante informatie op te vragen die zij nodig kunnen hebben om de overeenkomstig deze richtlijn vastgestelde nationale bepalingen te monitoren en na te doen leven.</w:t>
            </w:r>
            <w:r w:rsidRPr="00ED34AE">
              <w:rPr>
                <w:rFonts w:asciiTheme="minorHAnsi" w:hAnsiTheme="minorHAnsi" w:cstheme="minorHAnsi"/>
                <w:sz w:val="22"/>
              </w:rPr>
              <w:t>”</w:t>
            </w:r>
          </w:p>
        </w:tc>
      </w:tr>
      <w:tr w:rsidR="00ED34AE" w:rsidRPr="002F64C6" w14:paraId="52C4D3F9" w14:textId="77777777" w:rsidTr="0025113D">
        <w:tc>
          <w:tcPr>
            <w:tcW w:w="4508" w:type="dxa"/>
          </w:tcPr>
          <w:p w14:paraId="0D97D394" w14:textId="77777777" w:rsidR="00ED34AE" w:rsidRPr="00ED34AE" w:rsidRDefault="00ED34AE" w:rsidP="00ED34AE">
            <w:pPr>
              <w:jc w:val="both"/>
              <w:rPr>
                <w:rFonts w:asciiTheme="minorHAnsi" w:hAnsiTheme="minorHAnsi" w:cstheme="minorHAnsi"/>
                <w:sz w:val="22"/>
              </w:rPr>
            </w:pPr>
          </w:p>
        </w:tc>
        <w:tc>
          <w:tcPr>
            <w:tcW w:w="4508" w:type="dxa"/>
          </w:tcPr>
          <w:p w14:paraId="149C7F1A" w14:textId="77777777" w:rsidR="00ED34AE" w:rsidRPr="00ED34AE" w:rsidRDefault="00ED34AE" w:rsidP="00ED34AE">
            <w:pPr>
              <w:jc w:val="both"/>
              <w:rPr>
                <w:rFonts w:asciiTheme="minorHAnsi" w:hAnsiTheme="minorHAnsi" w:cstheme="minorHAnsi"/>
                <w:sz w:val="22"/>
              </w:rPr>
            </w:pPr>
          </w:p>
        </w:tc>
      </w:tr>
      <w:tr w:rsidR="00ED34AE" w:rsidRPr="002F64C6" w14:paraId="3D09D84C" w14:textId="77777777" w:rsidTr="0025113D">
        <w:tc>
          <w:tcPr>
            <w:tcW w:w="4508" w:type="dxa"/>
          </w:tcPr>
          <w:p w14:paraId="6404D4E4" w14:textId="69DD8EA0" w:rsidR="00ED34AE" w:rsidRPr="00ED34AE" w:rsidRDefault="00ED34AE" w:rsidP="00ED34AE">
            <w:pPr>
              <w:jc w:val="both"/>
              <w:rPr>
                <w:rFonts w:asciiTheme="minorHAnsi" w:hAnsiTheme="minorHAnsi" w:cstheme="minorHAnsi"/>
                <w:sz w:val="22"/>
                <w:lang w:val="fr-BE"/>
              </w:rPr>
            </w:pPr>
            <w:r w:rsidRPr="00ED34AE">
              <w:rPr>
                <w:rFonts w:asciiTheme="minorHAnsi" w:hAnsiTheme="minorHAnsi" w:cstheme="minorHAnsi"/>
                <w:sz w:val="22"/>
                <w:lang w:val="fr-BE"/>
              </w:rPr>
              <w:t xml:space="preserve">Le Conseil de l’IBPT apprécie en toute indépendance l’opportunité des contrôles à effectuer, ainsi que les priorités à établir entre ceux-ci en fonction de critères objectifs, tels que le temps écoulé depuis le dernier contrôle, l’existence d’indices d’infractions ou l’existence d’antécédents d’infractions.  </w:t>
            </w:r>
          </w:p>
        </w:tc>
        <w:tc>
          <w:tcPr>
            <w:tcW w:w="4508" w:type="dxa"/>
          </w:tcPr>
          <w:p w14:paraId="28681C13" w14:textId="73B57713" w:rsidR="00ED34AE" w:rsidRPr="00ED34AE" w:rsidRDefault="00ED34AE" w:rsidP="00ED34AE">
            <w:pPr>
              <w:jc w:val="both"/>
              <w:rPr>
                <w:rFonts w:asciiTheme="minorHAnsi" w:hAnsiTheme="minorHAnsi" w:cstheme="minorHAnsi"/>
                <w:sz w:val="22"/>
              </w:rPr>
            </w:pPr>
            <w:r w:rsidRPr="00ED34AE">
              <w:rPr>
                <w:rFonts w:asciiTheme="minorHAnsi" w:hAnsiTheme="minorHAnsi" w:cstheme="minorHAnsi"/>
                <w:sz w:val="22"/>
              </w:rPr>
              <w:t xml:space="preserve">De Raad van het BIPT beoordeelt volledig onafhankelijk de opportuniteit van de uit te voeren controles, alsook de prioriteiten daaronder op basis van objectieve criteria, zoals de tijd die verlopen is sedert de vorige controle, het bestaan van aanwijzingen van inbreuken of het bestaan van antecedenten van inbreuken.  </w:t>
            </w:r>
          </w:p>
        </w:tc>
      </w:tr>
      <w:tr w:rsidR="00ED34AE" w:rsidRPr="002F64C6" w14:paraId="4C2DF79C" w14:textId="77777777" w:rsidTr="0025113D">
        <w:tc>
          <w:tcPr>
            <w:tcW w:w="4508" w:type="dxa"/>
          </w:tcPr>
          <w:p w14:paraId="0D06EE46" w14:textId="77777777" w:rsidR="00ED34AE" w:rsidRPr="00866F12" w:rsidRDefault="00ED34AE" w:rsidP="00ED34AE">
            <w:pPr>
              <w:jc w:val="both"/>
              <w:rPr>
                <w:rFonts w:asciiTheme="minorHAnsi" w:hAnsiTheme="minorHAnsi" w:cstheme="minorHAnsi"/>
                <w:sz w:val="22"/>
              </w:rPr>
            </w:pPr>
          </w:p>
        </w:tc>
        <w:tc>
          <w:tcPr>
            <w:tcW w:w="4508" w:type="dxa"/>
          </w:tcPr>
          <w:p w14:paraId="5DEF9B84" w14:textId="77777777" w:rsidR="00ED34AE" w:rsidRPr="00ED34AE" w:rsidRDefault="00ED34AE" w:rsidP="00ED34AE">
            <w:pPr>
              <w:jc w:val="both"/>
              <w:rPr>
                <w:rFonts w:asciiTheme="minorHAnsi" w:hAnsiTheme="minorHAnsi" w:cstheme="minorHAnsi"/>
                <w:sz w:val="22"/>
              </w:rPr>
            </w:pPr>
          </w:p>
        </w:tc>
      </w:tr>
      <w:tr w:rsidR="00ED34AE" w:rsidRPr="002F64C6" w14:paraId="205A13E0" w14:textId="77777777" w:rsidTr="0025113D">
        <w:tc>
          <w:tcPr>
            <w:tcW w:w="4508" w:type="dxa"/>
          </w:tcPr>
          <w:p w14:paraId="3DBBBBD1" w14:textId="13A603C6" w:rsidR="00ED34AE" w:rsidRPr="00ED34AE" w:rsidRDefault="00ED34AE" w:rsidP="00ED34AE">
            <w:pPr>
              <w:jc w:val="both"/>
              <w:rPr>
                <w:rFonts w:asciiTheme="minorHAnsi" w:hAnsiTheme="minorHAnsi" w:cstheme="minorHAnsi"/>
                <w:sz w:val="22"/>
                <w:lang w:val="fr-BE"/>
              </w:rPr>
            </w:pPr>
            <w:r w:rsidRPr="00ED34AE">
              <w:rPr>
                <w:rFonts w:asciiTheme="minorHAnsi" w:hAnsiTheme="minorHAnsi" w:cstheme="minorHAnsi"/>
                <w:sz w:val="22"/>
                <w:lang w:val="fr-BE"/>
              </w:rPr>
              <w:t xml:space="preserve">Cependant, il n’est pas nécessaire que des soupçons d’infraction soient établis pour qu’un accès à la base de données puisse être exigé par l’IBPT, puisque ce contrôle vise précisément à rechercher et détecter l’existence d’infractions éventuelles. </w:t>
            </w:r>
          </w:p>
        </w:tc>
        <w:tc>
          <w:tcPr>
            <w:tcW w:w="4508" w:type="dxa"/>
          </w:tcPr>
          <w:p w14:paraId="66212374" w14:textId="62EB7DBF" w:rsidR="00ED34AE" w:rsidRPr="00ED34AE" w:rsidRDefault="00ED34AE" w:rsidP="00ED34AE">
            <w:pPr>
              <w:jc w:val="both"/>
              <w:rPr>
                <w:rFonts w:asciiTheme="minorHAnsi" w:hAnsiTheme="minorHAnsi" w:cstheme="minorHAnsi"/>
                <w:sz w:val="22"/>
              </w:rPr>
            </w:pPr>
            <w:r w:rsidRPr="00ED34AE">
              <w:rPr>
                <w:rFonts w:asciiTheme="minorHAnsi" w:hAnsiTheme="minorHAnsi" w:cstheme="minorHAnsi"/>
                <w:sz w:val="22"/>
              </w:rPr>
              <w:t xml:space="preserve">Het is evenwel niet noodzakelijk dat er verdenkingen van een inbreuk zijn opdat de Raad van het BIPT een toegang tot de databank kan eisen, aangezien die controle net tot doel heeft het bestaan van eventuele inbreuken te onderzoeken en op te sporen. </w:t>
            </w:r>
          </w:p>
        </w:tc>
      </w:tr>
      <w:tr w:rsidR="00ED34AE" w:rsidRPr="002F64C6" w14:paraId="120CBD6D" w14:textId="77777777" w:rsidTr="0025113D">
        <w:tc>
          <w:tcPr>
            <w:tcW w:w="4508" w:type="dxa"/>
          </w:tcPr>
          <w:p w14:paraId="5EA30A04" w14:textId="77777777" w:rsidR="00ED34AE" w:rsidRPr="00866F12" w:rsidRDefault="00ED34AE" w:rsidP="00ED34AE">
            <w:pPr>
              <w:jc w:val="both"/>
              <w:rPr>
                <w:rFonts w:asciiTheme="minorHAnsi" w:hAnsiTheme="minorHAnsi" w:cstheme="minorHAnsi"/>
                <w:sz w:val="22"/>
              </w:rPr>
            </w:pPr>
          </w:p>
        </w:tc>
        <w:tc>
          <w:tcPr>
            <w:tcW w:w="4508" w:type="dxa"/>
          </w:tcPr>
          <w:p w14:paraId="2FC42002" w14:textId="77777777" w:rsidR="00ED34AE" w:rsidRPr="00ED34AE" w:rsidRDefault="00ED34AE" w:rsidP="00ED34AE">
            <w:pPr>
              <w:jc w:val="both"/>
              <w:rPr>
                <w:rFonts w:asciiTheme="minorHAnsi" w:hAnsiTheme="minorHAnsi" w:cstheme="minorHAnsi"/>
                <w:sz w:val="22"/>
              </w:rPr>
            </w:pPr>
          </w:p>
        </w:tc>
      </w:tr>
      <w:tr w:rsidR="00ED34AE" w:rsidRPr="002F64C6" w14:paraId="680BD73F" w14:textId="77777777" w:rsidTr="0025113D">
        <w:tc>
          <w:tcPr>
            <w:tcW w:w="4508" w:type="dxa"/>
          </w:tcPr>
          <w:p w14:paraId="6E819B84" w14:textId="7EE8B58C" w:rsidR="00ED34AE" w:rsidRPr="00ED34AE" w:rsidRDefault="00ED34AE" w:rsidP="00ED34AE">
            <w:pPr>
              <w:jc w:val="both"/>
              <w:rPr>
                <w:rFonts w:asciiTheme="minorHAnsi" w:hAnsiTheme="minorHAnsi" w:cstheme="minorHAnsi"/>
                <w:sz w:val="22"/>
                <w:lang w:val="fr-BE"/>
              </w:rPr>
            </w:pPr>
            <w:r w:rsidRPr="00ED34AE">
              <w:rPr>
                <w:rFonts w:asciiTheme="minorHAnsi" w:hAnsiTheme="minorHAnsi" w:cstheme="minorHAnsi"/>
                <w:sz w:val="22"/>
                <w:lang w:val="fr-BE"/>
              </w:rPr>
              <w:t>Lorsque l’IBPT agit en tant qu’autorité de contrôle des dispositions nationales prises en application de la directive 2002/58 (« </w:t>
            </w:r>
            <w:proofErr w:type="spellStart"/>
            <w:r w:rsidRPr="00ED34AE">
              <w:rPr>
                <w:rFonts w:asciiTheme="minorHAnsi" w:hAnsiTheme="minorHAnsi" w:cstheme="minorHAnsi"/>
                <w:sz w:val="22"/>
                <w:lang w:val="fr-BE"/>
              </w:rPr>
              <w:t>eprivacy</w:t>
            </w:r>
            <w:proofErr w:type="spellEnd"/>
            <w:r w:rsidRPr="00ED34AE">
              <w:rPr>
                <w:rFonts w:asciiTheme="minorHAnsi" w:hAnsiTheme="minorHAnsi" w:cstheme="minorHAnsi"/>
                <w:sz w:val="22"/>
                <w:lang w:val="fr-BE"/>
              </w:rPr>
              <w:t> »), soumettre la demande d’accès envers l’opérateur qui est nécessaire pour effectuer ce contrôle à un contrôle préalable par une juridiction ou une autre autorité administrative indépendante reviendrait dans ce cas-ci à contrôler le « contrôleur » du respect des dispositions protectrices de la vie privée et à s’immiscer dans la marge d’appréciation dont bénéficie l’IBPT pour l’exercice de son contrôle du respect de ces dispositions. Une telle logique ne peut être suivie.</w:t>
            </w:r>
          </w:p>
        </w:tc>
        <w:tc>
          <w:tcPr>
            <w:tcW w:w="4508" w:type="dxa"/>
          </w:tcPr>
          <w:p w14:paraId="7D37FDAD" w14:textId="4089A74F" w:rsidR="00ED34AE" w:rsidRPr="00ED34AE" w:rsidRDefault="00ED34AE" w:rsidP="00ED34AE">
            <w:pPr>
              <w:jc w:val="both"/>
              <w:rPr>
                <w:rFonts w:asciiTheme="minorHAnsi" w:hAnsiTheme="minorHAnsi" w:cstheme="minorHAnsi"/>
                <w:sz w:val="22"/>
              </w:rPr>
            </w:pPr>
            <w:r w:rsidRPr="00ED34AE">
              <w:rPr>
                <w:rFonts w:asciiTheme="minorHAnsi" w:hAnsiTheme="minorHAnsi" w:cstheme="minorHAnsi"/>
                <w:sz w:val="22"/>
              </w:rPr>
              <w:t>Zoals eerder vermeld in verband met artikel 25, § 10, wanneer het BIPT optreedt als toezichthoudende autoriteit met betrekking tot de nationale bepalingen die genomen zijn overeenkomstig Richtlijn 2002/58 (“</w:t>
            </w:r>
            <w:proofErr w:type="spellStart"/>
            <w:r w:rsidRPr="00ED34AE">
              <w:rPr>
                <w:rFonts w:asciiTheme="minorHAnsi" w:hAnsiTheme="minorHAnsi" w:cstheme="minorHAnsi"/>
                <w:sz w:val="22"/>
              </w:rPr>
              <w:t>eprivacy</w:t>
            </w:r>
            <w:proofErr w:type="spellEnd"/>
            <w:r w:rsidRPr="00ED34AE">
              <w:rPr>
                <w:rFonts w:asciiTheme="minorHAnsi" w:hAnsiTheme="minorHAnsi" w:cstheme="minorHAnsi"/>
                <w:sz w:val="22"/>
              </w:rPr>
              <w:t>”), zou het feit van het verzoek om toegang aan de operator die noodzakelijk is om deze controle te verrichten, voor te leggen voor een voorafgaande controle door een rechtscollege of een onafhankelijke administratieve overheid, erop neerkomen dat de “toezichthouder” wordt gecontroleerd en dat er inmenging is in de beoordelingsmarge waarover het BIPT beschikt om zijn controles uit te voeren.</w:t>
            </w:r>
          </w:p>
        </w:tc>
      </w:tr>
      <w:tr w:rsidR="00ED34AE" w:rsidRPr="002F64C6" w14:paraId="3BD462A8" w14:textId="77777777" w:rsidTr="0025113D">
        <w:tc>
          <w:tcPr>
            <w:tcW w:w="4508" w:type="dxa"/>
          </w:tcPr>
          <w:p w14:paraId="0EB32BB3" w14:textId="77777777" w:rsidR="00ED34AE" w:rsidRPr="003A24C7" w:rsidRDefault="00ED34AE" w:rsidP="00ED34AE">
            <w:pPr>
              <w:jc w:val="both"/>
              <w:rPr>
                <w:rFonts w:asciiTheme="minorHAnsi" w:hAnsiTheme="minorHAnsi" w:cstheme="minorHAnsi"/>
                <w:sz w:val="22"/>
              </w:rPr>
            </w:pPr>
          </w:p>
        </w:tc>
        <w:tc>
          <w:tcPr>
            <w:tcW w:w="4508" w:type="dxa"/>
          </w:tcPr>
          <w:p w14:paraId="0AA01F10" w14:textId="77777777" w:rsidR="00ED34AE" w:rsidRPr="00ED34AE" w:rsidRDefault="00ED34AE" w:rsidP="00ED34AE">
            <w:pPr>
              <w:jc w:val="both"/>
              <w:rPr>
                <w:rFonts w:asciiTheme="minorHAnsi" w:hAnsiTheme="minorHAnsi" w:cstheme="minorHAnsi"/>
                <w:sz w:val="22"/>
              </w:rPr>
            </w:pPr>
          </w:p>
        </w:tc>
      </w:tr>
      <w:tr w:rsidR="00ED34AE" w:rsidRPr="002F64C6" w14:paraId="4964FEFD" w14:textId="77777777" w:rsidTr="0025113D">
        <w:tc>
          <w:tcPr>
            <w:tcW w:w="4508" w:type="dxa"/>
          </w:tcPr>
          <w:p w14:paraId="294D8067" w14:textId="7BE44774" w:rsidR="00ED34AE" w:rsidRPr="00ED34AE" w:rsidRDefault="00ED34AE" w:rsidP="00ED34AE">
            <w:pPr>
              <w:jc w:val="both"/>
              <w:rPr>
                <w:rFonts w:asciiTheme="minorHAnsi" w:hAnsiTheme="minorHAnsi" w:cstheme="minorHAnsi"/>
                <w:sz w:val="22"/>
                <w:lang w:val="fr-BE"/>
              </w:rPr>
            </w:pPr>
            <w:r w:rsidRPr="00ED34AE">
              <w:rPr>
                <w:rFonts w:asciiTheme="minorHAnsi" w:hAnsiTheme="minorHAnsi" w:cstheme="minorHAnsi"/>
                <w:sz w:val="22"/>
                <w:lang w:val="fr-BE"/>
              </w:rPr>
              <w:t>Dès lors, dans ce cadre précis, le Conseil de l’IBPT peut collégialement décider d’effectuer un contrôle du respect de ces dispositions en exigeant d’un opérateur l’accès permettant de consulter les bases de données concernées à des fins de contrôle.</w:t>
            </w:r>
          </w:p>
        </w:tc>
        <w:tc>
          <w:tcPr>
            <w:tcW w:w="4508" w:type="dxa"/>
          </w:tcPr>
          <w:p w14:paraId="1D43B434" w14:textId="7F963176" w:rsidR="00ED34AE" w:rsidRPr="00ED34AE" w:rsidRDefault="00ED34AE" w:rsidP="00ED34AE">
            <w:pPr>
              <w:jc w:val="both"/>
              <w:rPr>
                <w:rFonts w:asciiTheme="minorHAnsi" w:hAnsiTheme="minorHAnsi" w:cstheme="minorHAnsi"/>
                <w:sz w:val="22"/>
              </w:rPr>
            </w:pPr>
            <w:r w:rsidRPr="00ED34AE">
              <w:rPr>
                <w:rFonts w:asciiTheme="minorHAnsi" w:hAnsiTheme="minorHAnsi" w:cstheme="minorHAnsi"/>
                <w:sz w:val="22"/>
              </w:rPr>
              <w:t>In dit specifieke kader kan de Raad van het BIPT dan ook collegiaal beslissen om een controle te verrichten van de naleving van deze bepalingen door van een operator de toegang te eisen zodat de betreffende databanken voor controledoeleinden geraadpleegd kunnen worden.</w:t>
            </w:r>
          </w:p>
        </w:tc>
      </w:tr>
      <w:tr w:rsidR="00ED34AE" w:rsidRPr="002F64C6" w14:paraId="42FC0B8E" w14:textId="77777777" w:rsidTr="0025113D">
        <w:tc>
          <w:tcPr>
            <w:tcW w:w="4508" w:type="dxa"/>
          </w:tcPr>
          <w:p w14:paraId="0AC17A49" w14:textId="77777777" w:rsidR="00ED34AE" w:rsidRPr="003A24C7" w:rsidRDefault="00ED34AE" w:rsidP="00ED34AE">
            <w:pPr>
              <w:jc w:val="both"/>
              <w:rPr>
                <w:rFonts w:asciiTheme="minorHAnsi" w:hAnsiTheme="minorHAnsi" w:cstheme="minorHAnsi"/>
                <w:sz w:val="22"/>
              </w:rPr>
            </w:pPr>
          </w:p>
        </w:tc>
        <w:tc>
          <w:tcPr>
            <w:tcW w:w="4508" w:type="dxa"/>
          </w:tcPr>
          <w:p w14:paraId="3B7CEF7B" w14:textId="77777777" w:rsidR="00ED34AE" w:rsidRPr="00ED34AE" w:rsidRDefault="00ED34AE" w:rsidP="00ED34AE">
            <w:pPr>
              <w:jc w:val="both"/>
              <w:rPr>
                <w:rFonts w:asciiTheme="minorHAnsi" w:hAnsiTheme="minorHAnsi" w:cstheme="minorHAnsi"/>
                <w:sz w:val="22"/>
              </w:rPr>
            </w:pPr>
          </w:p>
        </w:tc>
      </w:tr>
      <w:tr w:rsidR="00ED34AE" w:rsidRPr="002F64C6" w14:paraId="7D58C4E4" w14:textId="77777777" w:rsidTr="0025113D">
        <w:tc>
          <w:tcPr>
            <w:tcW w:w="4508" w:type="dxa"/>
          </w:tcPr>
          <w:p w14:paraId="4297106B" w14:textId="3FF473AE" w:rsidR="00ED34AE" w:rsidRPr="00ED34AE" w:rsidRDefault="00ED34AE" w:rsidP="00ED34AE">
            <w:pPr>
              <w:jc w:val="both"/>
              <w:rPr>
                <w:rFonts w:asciiTheme="minorHAnsi" w:hAnsiTheme="minorHAnsi" w:cstheme="minorHAnsi"/>
                <w:sz w:val="22"/>
                <w:lang w:val="fr-BE"/>
              </w:rPr>
            </w:pPr>
            <w:r w:rsidRPr="00ED34AE">
              <w:rPr>
                <w:rFonts w:asciiTheme="minorHAnsi" w:hAnsiTheme="minorHAnsi" w:cstheme="minorHAnsi"/>
                <w:sz w:val="22"/>
                <w:lang w:val="fr-BE"/>
              </w:rPr>
              <w:t>Les articles 126, 126/1, 126/2 et 127, qui sont des dispositions dont le non-respect est sanctionné pénalement (voir article 145,  §1</w:t>
            </w:r>
            <w:r w:rsidRPr="00ED34AE">
              <w:rPr>
                <w:rFonts w:asciiTheme="minorHAnsi" w:hAnsiTheme="minorHAnsi" w:cstheme="minorHAnsi"/>
                <w:sz w:val="22"/>
                <w:vertAlign w:val="superscript"/>
                <w:lang w:val="fr-BE"/>
              </w:rPr>
              <w:t>er</w:t>
            </w:r>
            <w:r w:rsidRPr="00ED34AE">
              <w:rPr>
                <w:rFonts w:asciiTheme="minorHAnsi" w:hAnsiTheme="minorHAnsi" w:cstheme="minorHAnsi"/>
                <w:sz w:val="22"/>
                <w:lang w:val="fr-BE"/>
              </w:rPr>
              <w:t xml:space="preserve">, de la loi télécom) sont repris dans le paragraphe 3 pour les raisons suivantes. Les officiers de police judiciaire (OPJ) de l’IBPT peuvent être amenés à contrôler le respect de ces articles et de leurs arrêtés d’exécution, en exigeant de l’opérateur contrôlé de pouvoir accéder à une base de données qui contient les données conservées en vertu d’un de ces articles ou d’un de leur arrêté d’exécution. </w:t>
            </w:r>
          </w:p>
        </w:tc>
        <w:tc>
          <w:tcPr>
            <w:tcW w:w="4508" w:type="dxa"/>
          </w:tcPr>
          <w:p w14:paraId="385DB0EA" w14:textId="20069EC6" w:rsidR="00ED34AE" w:rsidRPr="00ED34AE" w:rsidRDefault="00ED34AE" w:rsidP="00ED34AE">
            <w:pPr>
              <w:jc w:val="both"/>
              <w:rPr>
                <w:rFonts w:asciiTheme="minorHAnsi" w:hAnsiTheme="minorHAnsi" w:cstheme="minorHAnsi"/>
                <w:sz w:val="22"/>
              </w:rPr>
            </w:pPr>
            <w:r w:rsidRPr="00ED34AE">
              <w:rPr>
                <w:rFonts w:asciiTheme="minorHAnsi" w:hAnsiTheme="minorHAnsi" w:cstheme="minorHAnsi"/>
                <w:sz w:val="22"/>
              </w:rPr>
              <w:t xml:space="preserve">De artikelen 126, 126/1, 126/2 en 127, welke bepalingen zijn waarvan de niet-naleving strafrechtelijk bestraft wordt (zie artikel 145,  § 1, van de telecomwet) worden opgenomen in paragraaf 3 om de volgende redenen. Het kan gebeuren dat de officieren van gerechtelijke politie (OGP) van het BIPT de naleving van deze artikelen en van de uitvoeringsbesluiten ervan moeten controleren, waarbij van de gecontroleerde operator verlangd wordt om toegang te krijgen tot een databank die de krachtens een van die artikelen of een van de uitvoeringsbesluiten ervan bewaarde gegevens bevat. </w:t>
            </w:r>
          </w:p>
        </w:tc>
      </w:tr>
      <w:tr w:rsidR="00ED34AE" w:rsidRPr="002F64C6" w14:paraId="2815A897" w14:textId="77777777" w:rsidTr="0025113D">
        <w:tc>
          <w:tcPr>
            <w:tcW w:w="4508" w:type="dxa"/>
          </w:tcPr>
          <w:p w14:paraId="7A691E4C" w14:textId="77777777" w:rsidR="00ED34AE" w:rsidRPr="00ED34AE" w:rsidRDefault="00ED34AE" w:rsidP="00ED34AE">
            <w:pPr>
              <w:jc w:val="both"/>
              <w:rPr>
                <w:rFonts w:asciiTheme="minorHAnsi" w:hAnsiTheme="minorHAnsi" w:cstheme="minorHAnsi"/>
                <w:sz w:val="22"/>
              </w:rPr>
            </w:pPr>
          </w:p>
        </w:tc>
        <w:tc>
          <w:tcPr>
            <w:tcW w:w="4508" w:type="dxa"/>
          </w:tcPr>
          <w:p w14:paraId="2DBC33A2" w14:textId="77777777" w:rsidR="00ED34AE" w:rsidRPr="00ED34AE" w:rsidRDefault="00ED34AE" w:rsidP="00ED34AE">
            <w:pPr>
              <w:jc w:val="both"/>
              <w:rPr>
                <w:rFonts w:asciiTheme="minorHAnsi" w:hAnsiTheme="minorHAnsi" w:cstheme="minorHAnsi"/>
                <w:sz w:val="22"/>
              </w:rPr>
            </w:pPr>
          </w:p>
        </w:tc>
      </w:tr>
      <w:tr w:rsidR="00ED34AE" w:rsidRPr="002F64C6" w14:paraId="34128C7E" w14:textId="77777777" w:rsidTr="0025113D">
        <w:tc>
          <w:tcPr>
            <w:tcW w:w="4508" w:type="dxa"/>
          </w:tcPr>
          <w:p w14:paraId="61F1816B" w14:textId="0954C3FC" w:rsidR="00ED34AE" w:rsidRPr="00ED34AE" w:rsidRDefault="00ED34AE" w:rsidP="00ED34AE">
            <w:pPr>
              <w:jc w:val="both"/>
              <w:rPr>
                <w:rFonts w:asciiTheme="minorHAnsi" w:hAnsiTheme="minorHAnsi" w:cstheme="minorHAnsi"/>
                <w:sz w:val="22"/>
                <w:lang w:val="fr-BE"/>
              </w:rPr>
            </w:pPr>
            <w:r w:rsidRPr="00ED34AE">
              <w:rPr>
                <w:rFonts w:asciiTheme="minorHAnsi" w:hAnsiTheme="minorHAnsi" w:cstheme="minorHAnsi"/>
                <w:sz w:val="22"/>
                <w:lang w:val="fr-BE"/>
              </w:rPr>
              <w:t>En cas d’infraction, un OPJ de l’IBPT rédigera un PV et enverra ce PV au procureur du Roi et une copie de ce PV au Conseil de l’IBPT. Sur base de l’article 21/1 de la loi IBPT-statut, en concertation avec le procureur du Roi, l’Institut peut se charger de poursuivre les manquements de l’opérateur repris dans le PV. La procédure d’infraction devient alors administrative. On ne peut pas exclure que dans le cadre de cette procédure administrative, un nouvel accès à une base de données de l’opérateur soit nécessaire, par exemple pour contrôler que l’opérateur s’est mis en ordre avec la législation. Ce nouvel accès ne peut plus être autorisé par les OPJ de l’IBPT, vu que la procédure n’est plus pénale. Par conséquence, c’est l’IBPT (représenté par son Conseil) qui devra exiger ce nouvel accès à la base de données.</w:t>
            </w:r>
          </w:p>
        </w:tc>
        <w:tc>
          <w:tcPr>
            <w:tcW w:w="4508" w:type="dxa"/>
          </w:tcPr>
          <w:p w14:paraId="08FEDA8A" w14:textId="13EF6195" w:rsidR="00ED34AE" w:rsidRPr="00ED34AE" w:rsidRDefault="00ED34AE" w:rsidP="00ED34AE">
            <w:pPr>
              <w:jc w:val="both"/>
              <w:rPr>
                <w:rFonts w:asciiTheme="minorHAnsi" w:hAnsiTheme="minorHAnsi" w:cstheme="minorHAnsi"/>
                <w:sz w:val="22"/>
              </w:rPr>
            </w:pPr>
            <w:r w:rsidRPr="00ED34AE">
              <w:rPr>
                <w:rFonts w:asciiTheme="minorHAnsi" w:hAnsiTheme="minorHAnsi" w:cstheme="minorHAnsi"/>
                <w:sz w:val="22"/>
              </w:rPr>
              <w:t xml:space="preserve">In geval van een inbreuk zal een OGP van het BIPT een proces-verbaal opstellen en dat pv verzenden naar de procureur des Konings en een kopie van dat pv naar de Raad van het BIPT. Op grond van artikel 21/1 van de BIPT-statuutwet, kan het Instituut in overleg met de procureur des Konings de taak op zich nemen om de in het pv vermelde inbreuken van de operator te vervolgen. De inbreukprocedure wordt dan administratief. Er kan niet worden uitgesloten dat in het kader van deze administratieve procedure een nieuwe toegang tot een databank van de operator noodzakelijk is, bijvoorbeeld om te controleren of de operator zich naar de wetgeving geschikt heeft. Die nieuwe toegang mag niet meer worden toegestaan door de </w:t>
            </w:r>
            <w:proofErr w:type="spellStart"/>
            <w:r w:rsidRPr="00ED34AE">
              <w:rPr>
                <w:rFonts w:asciiTheme="minorHAnsi" w:hAnsiTheme="minorHAnsi" w:cstheme="minorHAnsi"/>
                <w:sz w:val="22"/>
              </w:rPr>
              <w:t>OGP's</w:t>
            </w:r>
            <w:proofErr w:type="spellEnd"/>
            <w:r w:rsidRPr="00ED34AE">
              <w:rPr>
                <w:rFonts w:asciiTheme="minorHAnsi" w:hAnsiTheme="minorHAnsi" w:cstheme="minorHAnsi"/>
                <w:sz w:val="22"/>
              </w:rPr>
              <w:t xml:space="preserve"> van het BIPT, aangezien de procedure niet langer strafrechtelijk is. Bijgevolg is het </w:t>
            </w:r>
            <w:proofErr w:type="spellStart"/>
            <w:r w:rsidRPr="00ED34AE">
              <w:rPr>
                <w:rFonts w:asciiTheme="minorHAnsi" w:hAnsiTheme="minorHAnsi" w:cstheme="minorHAnsi"/>
                <w:sz w:val="22"/>
              </w:rPr>
              <w:t>het</w:t>
            </w:r>
            <w:proofErr w:type="spellEnd"/>
            <w:r w:rsidRPr="00ED34AE">
              <w:rPr>
                <w:rFonts w:asciiTheme="minorHAnsi" w:hAnsiTheme="minorHAnsi" w:cstheme="minorHAnsi"/>
                <w:sz w:val="22"/>
              </w:rPr>
              <w:t xml:space="preserve"> BIPT (vertegenwoordigd door zijn Raad) dat deze nieuwe toegang tot de databank zal moeten eisen.</w:t>
            </w:r>
          </w:p>
        </w:tc>
      </w:tr>
      <w:tr w:rsidR="00ED34AE" w:rsidRPr="002F64C6" w14:paraId="1E1E3A63" w14:textId="77777777" w:rsidTr="0025113D">
        <w:tc>
          <w:tcPr>
            <w:tcW w:w="4508" w:type="dxa"/>
          </w:tcPr>
          <w:p w14:paraId="46A485A1" w14:textId="77777777" w:rsidR="00ED34AE" w:rsidRPr="00ED34AE" w:rsidRDefault="00ED34AE" w:rsidP="00ED34AE">
            <w:pPr>
              <w:jc w:val="both"/>
              <w:rPr>
                <w:rFonts w:asciiTheme="minorHAnsi" w:hAnsiTheme="minorHAnsi" w:cstheme="minorHAnsi"/>
                <w:sz w:val="22"/>
              </w:rPr>
            </w:pPr>
          </w:p>
        </w:tc>
        <w:tc>
          <w:tcPr>
            <w:tcW w:w="4508" w:type="dxa"/>
          </w:tcPr>
          <w:p w14:paraId="30A752BF" w14:textId="77777777" w:rsidR="00ED34AE" w:rsidRPr="00ED34AE" w:rsidRDefault="00ED34AE" w:rsidP="00ED34AE">
            <w:pPr>
              <w:jc w:val="both"/>
              <w:rPr>
                <w:rFonts w:asciiTheme="minorHAnsi" w:hAnsiTheme="minorHAnsi" w:cstheme="minorHAnsi"/>
                <w:sz w:val="22"/>
              </w:rPr>
            </w:pPr>
          </w:p>
        </w:tc>
      </w:tr>
      <w:tr w:rsidR="00ED34AE" w:rsidRPr="002F64C6" w14:paraId="0507F2BE" w14:textId="77777777" w:rsidTr="0025113D">
        <w:tc>
          <w:tcPr>
            <w:tcW w:w="4508" w:type="dxa"/>
          </w:tcPr>
          <w:p w14:paraId="2CEAE3CF" w14:textId="7AD1227B" w:rsidR="00ED34AE" w:rsidRPr="00ED34AE" w:rsidRDefault="00ED34AE" w:rsidP="00ED34AE">
            <w:pPr>
              <w:jc w:val="both"/>
              <w:rPr>
                <w:rFonts w:asciiTheme="minorHAnsi" w:hAnsiTheme="minorHAnsi" w:cstheme="minorHAnsi"/>
                <w:sz w:val="22"/>
                <w:lang w:val="fr-BE"/>
              </w:rPr>
            </w:pPr>
            <w:r w:rsidRPr="00ED34AE">
              <w:rPr>
                <w:rFonts w:asciiTheme="minorHAnsi" w:hAnsiTheme="minorHAnsi" w:cstheme="minorHAnsi"/>
                <w:b/>
                <w:sz w:val="22"/>
                <w:u w:val="single"/>
                <w:lang w:val="fr-BE"/>
              </w:rPr>
              <w:t>Paragraphe 4 : la motivation des demandes et le registre</w:t>
            </w:r>
          </w:p>
        </w:tc>
        <w:tc>
          <w:tcPr>
            <w:tcW w:w="4508" w:type="dxa"/>
          </w:tcPr>
          <w:p w14:paraId="4A324182" w14:textId="4424CC42" w:rsidR="00ED34AE" w:rsidRPr="00ED34AE" w:rsidRDefault="00ED34AE" w:rsidP="00ED34AE">
            <w:pPr>
              <w:jc w:val="both"/>
              <w:rPr>
                <w:rFonts w:asciiTheme="minorHAnsi" w:hAnsiTheme="minorHAnsi" w:cstheme="minorHAnsi"/>
                <w:sz w:val="22"/>
              </w:rPr>
            </w:pPr>
            <w:r w:rsidRPr="00ED34AE">
              <w:rPr>
                <w:rFonts w:asciiTheme="minorHAnsi" w:hAnsiTheme="minorHAnsi" w:cstheme="minorHAnsi"/>
                <w:b/>
                <w:sz w:val="22"/>
                <w:u w:val="single"/>
              </w:rPr>
              <w:t>Paragraaf 4: de motivering van de verzoeken en de inventaris</w:t>
            </w:r>
          </w:p>
        </w:tc>
      </w:tr>
      <w:tr w:rsidR="00ED34AE" w:rsidRPr="002F64C6" w14:paraId="12240FC3" w14:textId="77777777" w:rsidTr="0025113D">
        <w:tc>
          <w:tcPr>
            <w:tcW w:w="4508" w:type="dxa"/>
          </w:tcPr>
          <w:p w14:paraId="1CF826B0" w14:textId="77777777" w:rsidR="00ED34AE" w:rsidRPr="00ED34AE" w:rsidRDefault="00ED34AE" w:rsidP="00ED34AE">
            <w:pPr>
              <w:jc w:val="both"/>
              <w:rPr>
                <w:rFonts w:asciiTheme="minorHAnsi" w:hAnsiTheme="minorHAnsi" w:cstheme="minorHAnsi"/>
                <w:sz w:val="22"/>
              </w:rPr>
            </w:pPr>
          </w:p>
        </w:tc>
        <w:tc>
          <w:tcPr>
            <w:tcW w:w="4508" w:type="dxa"/>
          </w:tcPr>
          <w:p w14:paraId="76F0E23C" w14:textId="77777777" w:rsidR="00ED34AE" w:rsidRPr="00ED34AE" w:rsidRDefault="00ED34AE" w:rsidP="00ED34AE">
            <w:pPr>
              <w:jc w:val="both"/>
              <w:rPr>
                <w:rFonts w:asciiTheme="minorHAnsi" w:hAnsiTheme="minorHAnsi" w:cstheme="minorHAnsi"/>
                <w:sz w:val="22"/>
              </w:rPr>
            </w:pPr>
          </w:p>
        </w:tc>
      </w:tr>
      <w:tr w:rsidR="00ED34AE" w:rsidRPr="002F64C6" w14:paraId="2F1DA730" w14:textId="77777777" w:rsidTr="0025113D">
        <w:tc>
          <w:tcPr>
            <w:tcW w:w="4508" w:type="dxa"/>
          </w:tcPr>
          <w:p w14:paraId="0C7D57FA" w14:textId="36552456" w:rsidR="00ED34AE" w:rsidRPr="00ED34AE" w:rsidRDefault="00ED34AE" w:rsidP="00ED34AE">
            <w:pPr>
              <w:jc w:val="both"/>
              <w:rPr>
                <w:rFonts w:asciiTheme="minorHAnsi" w:hAnsiTheme="minorHAnsi" w:cstheme="minorHAnsi"/>
                <w:sz w:val="22"/>
                <w:lang w:val="fr-BE"/>
              </w:rPr>
            </w:pPr>
            <w:r w:rsidRPr="00ED34AE">
              <w:rPr>
                <w:rFonts w:asciiTheme="minorHAnsi" w:hAnsiTheme="minorHAnsi" w:cstheme="minorHAnsi"/>
                <w:sz w:val="22"/>
                <w:lang w:val="fr-BE"/>
              </w:rPr>
              <w:t>Le paragraphe 4 a pour objectif d’incorporer dans la loi-statut les exigences en termes de motivation posées par la Cour constitutionnelle dans son arrêt n°158/2021 du 18/11/2021, point B.16.8.7, qui se lit comme suit : « </w:t>
            </w:r>
            <w:r w:rsidRPr="00ED34AE">
              <w:rPr>
                <w:rFonts w:asciiTheme="minorHAnsi" w:hAnsiTheme="minorHAnsi" w:cstheme="minorHAnsi"/>
                <w:i/>
                <w:iCs/>
                <w:sz w:val="22"/>
                <w:lang w:val="fr-BE"/>
              </w:rPr>
              <w:t xml:space="preserve">B.16.8.7. Cela étant, la demande d’accès aux données d’identification traitées en vertu de l’article 127 de la loi du 13 juin 2005 doit toujours être motivée in </w:t>
            </w:r>
            <w:proofErr w:type="spellStart"/>
            <w:r w:rsidRPr="00ED34AE">
              <w:rPr>
                <w:rFonts w:asciiTheme="minorHAnsi" w:hAnsiTheme="minorHAnsi" w:cstheme="minorHAnsi"/>
                <w:i/>
                <w:iCs/>
                <w:sz w:val="22"/>
                <w:lang w:val="fr-BE"/>
              </w:rPr>
              <w:t>concreto</w:t>
            </w:r>
            <w:proofErr w:type="spellEnd"/>
            <w:r w:rsidRPr="00ED34AE">
              <w:rPr>
                <w:rFonts w:asciiTheme="minorHAnsi" w:hAnsiTheme="minorHAnsi" w:cstheme="minorHAnsi"/>
                <w:i/>
                <w:iCs/>
                <w:sz w:val="22"/>
                <w:lang w:val="fr-BE"/>
              </w:rPr>
              <w:t xml:space="preserve"> par la démonstration du lien entre ces données et les éléments objectifs qui fondent la suspicion concrète initiale à l’égard de l’utilisateur final en question concernant une infraction spécifique. Il faut également motiver le fait que l’on ne demande pas davantage de données que celles qui sont strictement nécessaires dans le cadre de l’enquête en cours. Une telle motivation ne peut pas recourir à des formulations types ou à des formules de style</w:t>
            </w:r>
            <w:r w:rsidRPr="00ED34AE">
              <w:rPr>
                <w:rFonts w:asciiTheme="minorHAnsi" w:hAnsiTheme="minorHAnsi" w:cstheme="minorHAnsi"/>
                <w:sz w:val="22"/>
                <w:lang w:val="fr-BE"/>
              </w:rPr>
              <w:t>. »</w:t>
            </w:r>
          </w:p>
        </w:tc>
        <w:tc>
          <w:tcPr>
            <w:tcW w:w="4508" w:type="dxa"/>
          </w:tcPr>
          <w:p w14:paraId="3FA4C4C6" w14:textId="7B5FD5F3" w:rsidR="00ED34AE" w:rsidRPr="00ED34AE" w:rsidRDefault="00ED34AE" w:rsidP="00ED34AE">
            <w:pPr>
              <w:jc w:val="both"/>
              <w:rPr>
                <w:rFonts w:asciiTheme="minorHAnsi" w:hAnsiTheme="minorHAnsi" w:cstheme="minorHAnsi"/>
                <w:sz w:val="22"/>
              </w:rPr>
            </w:pPr>
            <w:r w:rsidRPr="00ED34AE">
              <w:rPr>
                <w:rFonts w:asciiTheme="minorHAnsi" w:hAnsiTheme="minorHAnsi" w:cstheme="minorHAnsi"/>
                <w:sz w:val="22"/>
              </w:rPr>
              <w:t>Paragraaf 4 heeft tot doel in de statuutwet de eisen inzake motivering op te nemen die zijn gesteld door het Grondwettelijk Hof in zijn arrest nr. 158/2021 van 18/11/2021, punt B.16.8.7, dat luidt: “</w:t>
            </w:r>
            <w:r w:rsidRPr="00ED34AE">
              <w:rPr>
                <w:rFonts w:asciiTheme="minorHAnsi" w:hAnsiTheme="minorHAnsi" w:cstheme="minorHAnsi"/>
                <w:i/>
                <w:sz w:val="22"/>
              </w:rPr>
              <w:t xml:space="preserve">B.16.8.7. Wel dient het verzoek om toegang tot de krachtens artikel 127 van de wet van 13 juni 2005 verwerkte identificatiegegevens steeds in </w:t>
            </w:r>
            <w:proofErr w:type="spellStart"/>
            <w:r w:rsidRPr="00ED34AE">
              <w:rPr>
                <w:rFonts w:asciiTheme="minorHAnsi" w:hAnsiTheme="minorHAnsi" w:cstheme="minorHAnsi"/>
                <w:i/>
                <w:sz w:val="22"/>
              </w:rPr>
              <w:t>concreto</w:t>
            </w:r>
            <w:proofErr w:type="spellEnd"/>
            <w:r w:rsidRPr="00ED34AE">
              <w:rPr>
                <w:rFonts w:asciiTheme="minorHAnsi" w:hAnsiTheme="minorHAnsi" w:cstheme="minorHAnsi"/>
                <w:i/>
                <w:sz w:val="22"/>
              </w:rPr>
              <w:t xml:space="preserve"> te worden gemotiveerd door het verband aan te tonen tussen die gegevens en de objectieve elementen die de initiële concrete verdenking van de betrokken eindgebruiker voor een specifiek misdrijf ondersteunen. Tevens dient te worden gemotiveerd dat er niet meer gegevens worden opgevraagd dan strikt noodzakelijk is in het licht van het lopende onderzoek. Een dergelijke motivering mag geen gebruik maken van standaardformuleringen of stijlformules</w:t>
            </w:r>
            <w:r w:rsidRPr="00ED34AE">
              <w:rPr>
                <w:rFonts w:asciiTheme="minorHAnsi" w:hAnsiTheme="minorHAnsi" w:cstheme="minorHAnsi"/>
                <w:sz w:val="22"/>
              </w:rPr>
              <w:t>.”</w:t>
            </w:r>
          </w:p>
        </w:tc>
      </w:tr>
      <w:tr w:rsidR="00ED34AE" w:rsidRPr="002F64C6" w14:paraId="4932FA09" w14:textId="77777777" w:rsidTr="0025113D">
        <w:tc>
          <w:tcPr>
            <w:tcW w:w="4508" w:type="dxa"/>
          </w:tcPr>
          <w:p w14:paraId="49253E91" w14:textId="77777777" w:rsidR="00ED34AE" w:rsidRPr="003A24C7" w:rsidRDefault="00ED34AE" w:rsidP="00ED34AE">
            <w:pPr>
              <w:jc w:val="both"/>
              <w:rPr>
                <w:rFonts w:asciiTheme="minorHAnsi" w:hAnsiTheme="minorHAnsi" w:cstheme="minorHAnsi"/>
                <w:sz w:val="22"/>
              </w:rPr>
            </w:pPr>
          </w:p>
        </w:tc>
        <w:tc>
          <w:tcPr>
            <w:tcW w:w="4508" w:type="dxa"/>
          </w:tcPr>
          <w:p w14:paraId="34DE24B5" w14:textId="77777777" w:rsidR="00ED34AE" w:rsidRPr="00ED34AE" w:rsidRDefault="00ED34AE" w:rsidP="00ED34AE">
            <w:pPr>
              <w:jc w:val="both"/>
              <w:rPr>
                <w:rFonts w:asciiTheme="minorHAnsi" w:hAnsiTheme="minorHAnsi" w:cstheme="minorHAnsi"/>
                <w:sz w:val="22"/>
              </w:rPr>
            </w:pPr>
          </w:p>
        </w:tc>
      </w:tr>
      <w:tr w:rsidR="00ED34AE" w:rsidRPr="002F64C6" w14:paraId="7622CB95" w14:textId="77777777" w:rsidTr="0025113D">
        <w:tc>
          <w:tcPr>
            <w:tcW w:w="4508" w:type="dxa"/>
          </w:tcPr>
          <w:p w14:paraId="2255122A" w14:textId="269FBBE5" w:rsidR="00ED34AE" w:rsidRPr="00ED34AE" w:rsidRDefault="00ED34AE" w:rsidP="00ED34AE">
            <w:pPr>
              <w:jc w:val="both"/>
              <w:rPr>
                <w:rFonts w:asciiTheme="minorHAnsi" w:hAnsiTheme="minorHAnsi" w:cstheme="minorHAnsi"/>
                <w:sz w:val="22"/>
                <w:lang w:val="fr-BE"/>
              </w:rPr>
            </w:pPr>
            <w:r w:rsidRPr="00ED34AE">
              <w:rPr>
                <w:rFonts w:asciiTheme="minorHAnsi" w:hAnsiTheme="minorHAnsi" w:cstheme="minorHAnsi"/>
                <w:sz w:val="22"/>
                <w:lang w:val="fr-BE"/>
              </w:rPr>
              <w:t xml:space="preserve">Afin de permettre un contrôle interne des demandes que l’IBPT adresse aux opérateurs, un inventaire de ces demandes sera tenu auprès de l’IBPT. </w:t>
            </w:r>
          </w:p>
        </w:tc>
        <w:tc>
          <w:tcPr>
            <w:tcW w:w="4508" w:type="dxa"/>
          </w:tcPr>
          <w:p w14:paraId="34A69805" w14:textId="58F81A54" w:rsidR="00ED34AE" w:rsidRPr="00ED34AE" w:rsidRDefault="00ED34AE" w:rsidP="00ED34AE">
            <w:pPr>
              <w:jc w:val="both"/>
              <w:rPr>
                <w:rFonts w:asciiTheme="minorHAnsi" w:hAnsiTheme="minorHAnsi" w:cstheme="minorHAnsi"/>
                <w:sz w:val="22"/>
              </w:rPr>
            </w:pPr>
            <w:r w:rsidRPr="00ED34AE">
              <w:rPr>
                <w:rFonts w:asciiTheme="minorHAnsi" w:hAnsiTheme="minorHAnsi" w:cstheme="minorHAnsi"/>
                <w:sz w:val="22"/>
              </w:rPr>
              <w:t>Om een interne controle mogelijk te maken van de verzoeken die het BIPT aan de operatoren richt, zal bij het BIPT een inventaris van die verzoeken bijgehouden worden.</w:t>
            </w:r>
          </w:p>
        </w:tc>
      </w:tr>
      <w:tr w:rsidR="00ED34AE" w:rsidRPr="002F64C6" w14:paraId="7AFC1353" w14:textId="77777777" w:rsidTr="0025113D">
        <w:tc>
          <w:tcPr>
            <w:tcW w:w="4508" w:type="dxa"/>
          </w:tcPr>
          <w:p w14:paraId="2FE9162E" w14:textId="77777777" w:rsidR="00ED34AE" w:rsidRPr="00ED34AE" w:rsidRDefault="00ED34AE" w:rsidP="00ED34AE">
            <w:pPr>
              <w:jc w:val="both"/>
              <w:rPr>
                <w:rFonts w:asciiTheme="minorHAnsi" w:hAnsiTheme="minorHAnsi" w:cstheme="minorHAnsi"/>
                <w:sz w:val="22"/>
              </w:rPr>
            </w:pPr>
          </w:p>
        </w:tc>
        <w:tc>
          <w:tcPr>
            <w:tcW w:w="4508" w:type="dxa"/>
          </w:tcPr>
          <w:p w14:paraId="1C04B0B7" w14:textId="77777777" w:rsidR="00ED34AE" w:rsidRPr="00ED34AE" w:rsidRDefault="00ED34AE" w:rsidP="00ED34AE">
            <w:pPr>
              <w:jc w:val="both"/>
              <w:rPr>
                <w:rFonts w:asciiTheme="minorHAnsi" w:hAnsiTheme="minorHAnsi" w:cstheme="minorHAnsi"/>
                <w:sz w:val="22"/>
              </w:rPr>
            </w:pPr>
          </w:p>
        </w:tc>
      </w:tr>
      <w:tr w:rsidR="00ED34AE" w:rsidRPr="002F64C6" w14:paraId="60ECEC61" w14:textId="77777777" w:rsidTr="0025113D">
        <w:tc>
          <w:tcPr>
            <w:tcW w:w="4508" w:type="dxa"/>
          </w:tcPr>
          <w:p w14:paraId="337E55DB" w14:textId="1613C6CE" w:rsidR="00ED34AE" w:rsidRPr="00ED34AE" w:rsidRDefault="00ED34AE" w:rsidP="00ED34AE">
            <w:pPr>
              <w:jc w:val="both"/>
              <w:rPr>
                <w:rFonts w:asciiTheme="minorHAnsi" w:hAnsiTheme="minorHAnsi" w:cstheme="minorHAnsi"/>
                <w:sz w:val="22"/>
                <w:lang w:val="fr-BE"/>
              </w:rPr>
            </w:pPr>
            <w:r w:rsidRPr="00ED34AE">
              <w:rPr>
                <w:rFonts w:asciiTheme="minorHAnsi" w:hAnsiTheme="minorHAnsi" w:cstheme="minorHAnsi"/>
                <w:b/>
                <w:sz w:val="22"/>
                <w:u w:val="single"/>
                <w:lang w:val="fr-BE"/>
              </w:rPr>
              <w:t xml:space="preserve">Information de la personne concernée </w:t>
            </w:r>
          </w:p>
        </w:tc>
        <w:tc>
          <w:tcPr>
            <w:tcW w:w="4508" w:type="dxa"/>
          </w:tcPr>
          <w:p w14:paraId="10B09265" w14:textId="0FBE8BB4" w:rsidR="00ED34AE" w:rsidRPr="00ED34AE" w:rsidRDefault="00ED34AE" w:rsidP="00ED34AE">
            <w:pPr>
              <w:jc w:val="both"/>
              <w:rPr>
                <w:rFonts w:asciiTheme="minorHAnsi" w:hAnsiTheme="minorHAnsi" w:cstheme="minorHAnsi"/>
                <w:sz w:val="22"/>
              </w:rPr>
            </w:pPr>
            <w:r w:rsidRPr="00ED34AE">
              <w:rPr>
                <w:rFonts w:asciiTheme="minorHAnsi" w:hAnsiTheme="minorHAnsi" w:cstheme="minorHAnsi"/>
                <w:b/>
                <w:sz w:val="22"/>
                <w:u w:val="single"/>
              </w:rPr>
              <w:t xml:space="preserve">Inlichting van de betrokken persoon </w:t>
            </w:r>
          </w:p>
        </w:tc>
      </w:tr>
      <w:tr w:rsidR="00ED34AE" w:rsidRPr="002F64C6" w14:paraId="6E9DAA90" w14:textId="77777777" w:rsidTr="0025113D">
        <w:tc>
          <w:tcPr>
            <w:tcW w:w="4508" w:type="dxa"/>
          </w:tcPr>
          <w:p w14:paraId="2AF7457E" w14:textId="77777777" w:rsidR="00ED34AE" w:rsidRPr="00ED34AE" w:rsidRDefault="00ED34AE" w:rsidP="00ED34AE">
            <w:pPr>
              <w:jc w:val="both"/>
              <w:rPr>
                <w:rFonts w:asciiTheme="minorHAnsi" w:hAnsiTheme="minorHAnsi" w:cstheme="minorHAnsi"/>
                <w:sz w:val="22"/>
              </w:rPr>
            </w:pPr>
          </w:p>
        </w:tc>
        <w:tc>
          <w:tcPr>
            <w:tcW w:w="4508" w:type="dxa"/>
          </w:tcPr>
          <w:p w14:paraId="6B31BFF3" w14:textId="77777777" w:rsidR="00ED34AE" w:rsidRPr="00ED34AE" w:rsidRDefault="00ED34AE" w:rsidP="00ED34AE">
            <w:pPr>
              <w:jc w:val="both"/>
              <w:rPr>
                <w:rFonts w:asciiTheme="minorHAnsi" w:hAnsiTheme="minorHAnsi" w:cstheme="minorHAnsi"/>
                <w:sz w:val="22"/>
              </w:rPr>
            </w:pPr>
          </w:p>
        </w:tc>
      </w:tr>
      <w:tr w:rsidR="00ED34AE" w:rsidRPr="002F64C6" w14:paraId="558AA246" w14:textId="77777777" w:rsidTr="0025113D">
        <w:tc>
          <w:tcPr>
            <w:tcW w:w="4508" w:type="dxa"/>
          </w:tcPr>
          <w:p w14:paraId="31A535B3" w14:textId="3B13A77F" w:rsidR="00ED34AE" w:rsidRPr="00ED34AE" w:rsidRDefault="00ED34AE" w:rsidP="00ED34AE">
            <w:pPr>
              <w:jc w:val="both"/>
              <w:rPr>
                <w:rFonts w:asciiTheme="minorHAnsi" w:hAnsiTheme="minorHAnsi" w:cstheme="minorHAnsi"/>
                <w:sz w:val="22"/>
                <w:lang w:val="fr-BE"/>
              </w:rPr>
            </w:pPr>
            <w:r w:rsidRPr="00ED34AE">
              <w:rPr>
                <w:rFonts w:asciiTheme="minorHAnsi" w:hAnsiTheme="minorHAnsi" w:cstheme="minorHAnsi"/>
                <w:sz w:val="22"/>
                <w:lang w:val="fr-BE"/>
              </w:rPr>
              <w:t xml:space="preserve">Une information de la personne concernée n’est pas prévue car cette dernière n’aurait pas de sens pratique. Lorsque l’IBPT est confronté à un incident de sécurité qui affecte le réseau d’un opérateur, il n’a pas connaissance de l’identité de l’auteur de l’attaque, qu’il revient aux autorités judiciaires de rechercher.   </w:t>
            </w:r>
          </w:p>
        </w:tc>
        <w:tc>
          <w:tcPr>
            <w:tcW w:w="4508" w:type="dxa"/>
          </w:tcPr>
          <w:p w14:paraId="2A09D059" w14:textId="7C0D8422" w:rsidR="00ED34AE" w:rsidRPr="00ED34AE" w:rsidRDefault="00ED34AE" w:rsidP="00ED34AE">
            <w:pPr>
              <w:jc w:val="both"/>
              <w:rPr>
                <w:rFonts w:asciiTheme="minorHAnsi" w:hAnsiTheme="minorHAnsi" w:cstheme="minorHAnsi"/>
                <w:sz w:val="22"/>
              </w:rPr>
            </w:pPr>
            <w:r w:rsidRPr="00ED34AE">
              <w:rPr>
                <w:rFonts w:asciiTheme="minorHAnsi" w:hAnsiTheme="minorHAnsi" w:cstheme="minorHAnsi"/>
                <w:sz w:val="22"/>
              </w:rPr>
              <w:t xml:space="preserve">Er wordt niet voorzien in een inlichting van de betrokken persoon omdat dit praktisch gezien geen zin zou hebben. Wanneer het BIPT geconfronteerd wordt met een beveiligingsincident dat het netwerk van een operator treft, heeft het geen kennis van de identiteit van de dader van de aanval; het is de taak van de gerechtelijke autoriteiten om die te zoeken.   </w:t>
            </w:r>
          </w:p>
        </w:tc>
      </w:tr>
      <w:tr w:rsidR="00ED34AE" w:rsidRPr="002F64C6" w14:paraId="38585B8E" w14:textId="77777777" w:rsidTr="0025113D">
        <w:tc>
          <w:tcPr>
            <w:tcW w:w="4508" w:type="dxa"/>
          </w:tcPr>
          <w:p w14:paraId="42803D42" w14:textId="77777777" w:rsidR="00ED34AE" w:rsidRPr="00ED34AE" w:rsidRDefault="00ED34AE" w:rsidP="00ED34AE">
            <w:pPr>
              <w:jc w:val="both"/>
              <w:rPr>
                <w:rFonts w:asciiTheme="minorHAnsi" w:hAnsiTheme="minorHAnsi" w:cstheme="minorHAnsi"/>
                <w:sz w:val="22"/>
              </w:rPr>
            </w:pPr>
          </w:p>
        </w:tc>
        <w:tc>
          <w:tcPr>
            <w:tcW w:w="4508" w:type="dxa"/>
          </w:tcPr>
          <w:p w14:paraId="4CBAE10C" w14:textId="77777777" w:rsidR="00ED34AE" w:rsidRPr="00ED34AE" w:rsidRDefault="00ED34AE" w:rsidP="00ED34AE">
            <w:pPr>
              <w:jc w:val="both"/>
              <w:rPr>
                <w:rFonts w:asciiTheme="minorHAnsi" w:hAnsiTheme="minorHAnsi" w:cstheme="minorHAnsi"/>
                <w:sz w:val="22"/>
              </w:rPr>
            </w:pPr>
          </w:p>
        </w:tc>
      </w:tr>
      <w:tr w:rsidR="00ED34AE" w:rsidRPr="002F64C6" w14:paraId="044D1A38" w14:textId="77777777" w:rsidTr="0025113D">
        <w:tc>
          <w:tcPr>
            <w:tcW w:w="4508" w:type="dxa"/>
          </w:tcPr>
          <w:p w14:paraId="22391BB3" w14:textId="5342F8AF" w:rsidR="00ED34AE" w:rsidRPr="00ED34AE" w:rsidRDefault="00ED34AE" w:rsidP="00ED34AE">
            <w:pPr>
              <w:jc w:val="both"/>
              <w:rPr>
                <w:rFonts w:asciiTheme="minorHAnsi" w:hAnsiTheme="minorHAnsi" w:cstheme="minorHAnsi"/>
                <w:sz w:val="22"/>
                <w:lang w:val="fr-BE"/>
              </w:rPr>
            </w:pPr>
            <w:r w:rsidRPr="00ED34AE">
              <w:rPr>
                <w:rFonts w:asciiTheme="minorHAnsi" w:hAnsiTheme="minorHAnsi" w:cstheme="minorHAnsi"/>
                <w:sz w:val="22"/>
                <w:lang w:val="fr-BE"/>
              </w:rPr>
              <w:t>Lorsque l’IBPT contrôle le respect des articles 122 et 123 de la loi télécom ou le respect des exigences en matière de facturation, il contrôle l’opérateur et non des individus.</w:t>
            </w:r>
          </w:p>
        </w:tc>
        <w:tc>
          <w:tcPr>
            <w:tcW w:w="4508" w:type="dxa"/>
          </w:tcPr>
          <w:p w14:paraId="03E85D3A" w14:textId="4B4B43B1" w:rsidR="00ED34AE" w:rsidRPr="00ED34AE" w:rsidRDefault="00ED34AE" w:rsidP="00ED34AE">
            <w:pPr>
              <w:jc w:val="both"/>
              <w:rPr>
                <w:rFonts w:asciiTheme="minorHAnsi" w:hAnsiTheme="minorHAnsi" w:cstheme="minorHAnsi"/>
                <w:sz w:val="22"/>
              </w:rPr>
            </w:pPr>
            <w:r w:rsidRPr="00ED34AE">
              <w:rPr>
                <w:rFonts w:asciiTheme="minorHAnsi" w:hAnsiTheme="minorHAnsi" w:cstheme="minorHAnsi"/>
                <w:sz w:val="22"/>
              </w:rPr>
              <w:t>Wanneer het BIPT de naleving van de artikelen 122 en 123 van de telecomwet of de naleving van de eisen inzake facturering controleert, dan controleert het de operator en niet de individuen.</w:t>
            </w:r>
          </w:p>
        </w:tc>
      </w:tr>
      <w:tr w:rsidR="00ED34AE" w:rsidRPr="002F64C6" w14:paraId="7EBFAB04" w14:textId="77777777" w:rsidTr="0025113D">
        <w:tc>
          <w:tcPr>
            <w:tcW w:w="4508" w:type="dxa"/>
          </w:tcPr>
          <w:p w14:paraId="1CF386E6" w14:textId="77777777" w:rsidR="00ED34AE" w:rsidRPr="00ED34AE" w:rsidRDefault="00ED34AE" w:rsidP="00ED34AE">
            <w:pPr>
              <w:jc w:val="both"/>
              <w:rPr>
                <w:rFonts w:asciiTheme="minorHAnsi" w:hAnsiTheme="minorHAnsi" w:cstheme="minorHAnsi"/>
                <w:sz w:val="22"/>
              </w:rPr>
            </w:pPr>
          </w:p>
        </w:tc>
        <w:tc>
          <w:tcPr>
            <w:tcW w:w="4508" w:type="dxa"/>
          </w:tcPr>
          <w:p w14:paraId="458AF401" w14:textId="77777777" w:rsidR="00ED34AE" w:rsidRPr="00ED34AE" w:rsidRDefault="00ED34AE" w:rsidP="00ED34AE">
            <w:pPr>
              <w:jc w:val="both"/>
              <w:rPr>
                <w:rFonts w:asciiTheme="minorHAnsi" w:hAnsiTheme="minorHAnsi" w:cstheme="minorHAnsi"/>
                <w:sz w:val="22"/>
              </w:rPr>
            </w:pPr>
          </w:p>
        </w:tc>
      </w:tr>
      <w:tr w:rsidR="00ED34AE" w:rsidRPr="002F64C6" w14:paraId="7B3372EF" w14:textId="77777777" w:rsidTr="0025113D">
        <w:tc>
          <w:tcPr>
            <w:tcW w:w="4508" w:type="dxa"/>
          </w:tcPr>
          <w:p w14:paraId="1A10C4CC" w14:textId="037718D7" w:rsidR="00ED34AE" w:rsidRPr="00ED34AE" w:rsidRDefault="00ED34AE" w:rsidP="00ED34AE">
            <w:pPr>
              <w:jc w:val="both"/>
              <w:rPr>
                <w:rFonts w:asciiTheme="minorHAnsi" w:hAnsiTheme="minorHAnsi" w:cstheme="minorHAnsi"/>
                <w:sz w:val="22"/>
                <w:lang w:val="fr-BE"/>
              </w:rPr>
            </w:pPr>
            <w:r w:rsidRPr="00ED34AE">
              <w:rPr>
                <w:rFonts w:asciiTheme="minorHAnsi" w:hAnsiTheme="minorHAnsi" w:cstheme="minorHAnsi"/>
                <w:sz w:val="22"/>
                <w:lang w:val="fr-BE"/>
              </w:rPr>
              <w:t xml:space="preserve">En outre, conformément à l’article 14, § 5, b) du RGPD, il est permis de déroger au droit de la personne concernée d’être informée de chaque traitement de ses données à caractère personnel lorsque les moyens qui devraient être déployés par le responsable du traitement pour informer la personne concernée du traitement seraient disproportionnés. </w:t>
            </w:r>
          </w:p>
        </w:tc>
        <w:tc>
          <w:tcPr>
            <w:tcW w:w="4508" w:type="dxa"/>
          </w:tcPr>
          <w:p w14:paraId="105A81D5" w14:textId="0B00A04A" w:rsidR="00ED34AE" w:rsidRPr="00ED34AE" w:rsidRDefault="00ED34AE" w:rsidP="00ED34AE">
            <w:pPr>
              <w:jc w:val="both"/>
              <w:rPr>
                <w:rFonts w:asciiTheme="minorHAnsi" w:hAnsiTheme="minorHAnsi" w:cstheme="minorHAnsi"/>
                <w:sz w:val="22"/>
              </w:rPr>
            </w:pPr>
            <w:r w:rsidRPr="00ED34AE">
              <w:rPr>
                <w:rFonts w:asciiTheme="minorHAnsi" w:hAnsiTheme="minorHAnsi" w:cstheme="minorHAnsi"/>
                <w:sz w:val="22"/>
              </w:rPr>
              <w:t xml:space="preserve">Overeenkomstig artikel 14, § 5, b), van de AVG is het bovendien toegestaan om af te wijken van het recht van de betrokken persoon om te worden ingelicht over elke verwerking van zijn persoonsgegevens wanneer de middelen die de verwerkingsverantwoordelijke zou moeten inzetten om de betrokken persoon in te lichten over de verwerking, onevenredig zouden zijn. </w:t>
            </w:r>
          </w:p>
        </w:tc>
      </w:tr>
      <w:tr w:rsidR="00ED34AE" w:rsidRPr="002F64C6" w14:paraId="47FC56B2" w14:textId="77777777" w:rsidTr="0025113D">
        <w:tc>
          <w:tcPr>
            <w:tcW w:w="4508" w:type="dxa"/>
          </w:tcPr>
          <w:p w14:paraId="7FCD419E" w14:textId="77777777" w:rsidR="00ED34AE" w:rsidRPr="002F64C6" w:rsidRDefault="00ED34AE" w:rsidP="00ED34AE">
            <w:pPr>
              <w:rPr>
                <w:rFonts w:asciiTheme="minorHAnsi" w:hAnsiTheme="minorHAnsi" w:cstheme="minorHAnsi"/>
                <w:sz w:val="22"/>
              </w:rPr>
            </w:pPr>
          </w:p>
        </w:tc>
        <w:tc>
          <w:tcPr>
            <w:tcW w:w="4508" w:type="dxa"/>
          </w:tcPr>
          <w:p w14:paraId="005B41EA" w14:textId="77777777" w:rsidR="00ED34AE" w:rsidRPr="002F64C6" w:rsidRDefault="00ED34AE" w:rsidP="00ED34AE">
            <w:pPr>
              <w:rPr>
                <w:rFonts w:asciiTheme="minorHAnsi" w:hAnsiTheme="minorHAnsi" w:cstheme="minorHAnsi"/>
                <w:sz w:val="22"/>
              </w:rPr>
            </w:pPr>
          </w:p>
        </w:tc>
      </w:tr>
      <w:tr w:rsidR="00ED34AE" w:rsidRPr="005648EB" w14:paraId="321730C5" w14:textId="77777777" w:rsidTr="0025113D">
        <w:tc>
          <w:tcPr>
            <w:tcW w:w="4508" w:type="dxa"/>
          </w:tcPr>
          <w:p w14:paraId="55D929CA" w14:textId="30B42D08" w:rsidR="00ED34AE" w:rsidRPr="005648EB" w:rsidRDefault="00ED34AE" w:rsidP="00ED34AE">
            <w:pPr>
              <w:pStyle w:val="Kop1"/>
              <w:outlineLvl w:val="0"/>
              <w:rPr>
                <w:rFonts w:asciiTheme="minorHAnsi" w:hAnsiTheme="minorHAnsi" w:cstheme="minorHAnsi"/>
                <w:szCs w:val="22"/>
                <w:lang w:val="fr-BE" w:eastAsia="fr-FR"/>
              </w:rPr>
            </w:pPr>
            <w:bookmarkStart w:id="17" w:name="_Toc96612094"/>
            <w:r w:rsidRPr="007A377E">
              <w:rPr>
                <w:rFonts w:asciiTheme="minorHAnsi" w:hAnsiTheme="minorHAnsi" w:cstheme="minorHAnsi"/>
                <w:szCs w:val="22"/>
                <w:lang w:val="fr-BE" w:eastAsia="fr-FR"/>
              </w:rPr>
              <w:t xml:space="preserve">Amendement n° </w:t>
            </w:r>
            <w:r>
              <w:rPr>
                <w:rFonts w:asciiTheme="minorHAnsi" w:hAnsiTheme="minorHAnsi" w:cstheme="minorHAnsi"/>
                <w:szCs w:val="22"/>
                <w:lang w:val="fr-BE" w:eastAsia="fr-FR"/>
              </w:rPr>
              <w:t>13</w:t>
            </w:r>
            <w:bookmarkEnd w:id="17"/>
          </w:p>
        </w:tc>
        <w:tc>
          <w:tcPr>
            <w:tcW w:w="4508" w:type="dxa"/>
          </w:tcPr>
          <w:p w14:paraId="07250400" w14:textId="0D7EF6D6" w:rsidR="00ED34AE" w:rsidRPr="00E26EB5" w:rsidRDefault="00ED34AE" w:rsidP="00ED34AE">
            <w:pPr>
              <w:pStyle w:val="Kop1"/>
              <w:outlineLvl w:val="0"/>
              <w:rPr>
                <w:rFonts w:asciiTheme="minorHAnsi" w:hAnsiTheme="minorHAnsi" w:cstheme="minorHAnsi"/>
                <w:szCs w:val="22"/>
                <w:lang w:eastAsia="fr-FR"/>
              </w:rPr>
            </w:pPr>
            <w:bookmarkStart w:id="18" w:name="_Toc96612095"/>
            <w:r w:rsidRPr="00E26EB5">
              <w:rPr>
                <w:rFonts w:asciiTheme="minorHAnsi" w:hAnsiTheme="minorHAnsi" w:cstheme="minorHAnsi"/>
                <w:szCs w:val="22"/>
                <w:lang w:eastAsia="fr-FR"/>
              </w:rPr>
              <w:t>Amendement nr. 1</w:t>
            </w:r>
            <w:r>
              <w:rPr>
                <w:rFonts w:asciiTheme="minorHAnsi" w:hAnsiTheme="minorHAnsi" w:cstheme="minorHAnsi"/>
                <w:szCs w:val="22"/>
                <w:lang w:eastAsia="fr-FR"/>
              </w:rPr>
              <w:t>3</w:t>
            </w:r>
            <w:bookmarkEnd w:id="18"/>
          </w:p>
        </w:tc>
      </w:tr>
      <w:tr w:rsidR="00ED34AE" w:rsidRPr="005648EB" w14:paraId="24887DC6" w14:textId="77777777" w:rsidTr="0025113D">
        <w:tc>
          <w:tcPr>
            <w:tcW w:w="4508" w:type="dxa"/>
          </w:tcPr>
          <w:p w14:paraId="6D8CDCE5" w14:textId="77777777" w:rsidR="00ED34AE" w:rsidRPr="005648EB" w:rsidRDefault="00ED34AE" w:rsidP="00ED34AE">
            <w:pPr>
              <w:rPr>
                <w:rFonts w:asciiTheme="minorHAnsi" w:hAnsiTheme="minorHAnsi" w:cstheme="minorHAnsi"/>
                <w:sz w:val="22"/>
              </w:rPr>
            </w:pPr>
          </w:p>
        </w:tc>
        <w:tc>
          <w:tcPr>
            <w:tcW w:w="4508" w:type="dxa"/>
          </w:tcPr>
          <w:p w14:paraId="50032AA9" w14:textId="77777777" w:rsidR="00ED34AE" w:rsidRPr="005648EB" w:rsidRDefault="00ED34AE" w:rsidP="00ED34AE">
            <w:pPr>
              <w:rPr>
                <w:rFonts w:asciiTheme="minorHAnsi" w:hAnsiTheme="minorHAnsi" w:cstheme="minorHAnsi"/>
                <w:sz w:val="22"/>
              </w:rPr>
            </w:pPr>
          </w:p>
        </w:tc>
      </w:tr>
      <w:tr w:rsidR="00ED34AE" w:rsidRPr="005648EB" w14:paraId="496971B2" w14:textId="77777777" w:rsidTr="0025113D">
        <w:tc>
          <w:tcPr>
            <w:tcW w:w="4508" w:type="dxa"/>
          </w:tcPr>
          <w:p w14:paraId="36C186B7" w14:textId="2E9B6525" w:rsidR="00ED34AE" w:rsidRPr="005648EB" w:rsidRDefault="00ED34AE" w:rsidP="00ED34AE">
            <w:pPr>
              <w:jc w:val="center"/>
              <w:rPr>
                <w:rFonts w:asciiTheme="minorHAnsi" w:hAnsiTheme="minorHAnsi" w:cstheme="minorHAnsi"/>
                <w:sz w:val="22"/>
              </w:rPr>
            </w:pPr>
            <w:proofErr w:type="spellStart"/>
            <w:r w:rsidRPr="007A377E">
              <w:rPr>
                <w:rFonts w:asciiTheme="minorHAnsi" w:hAnsiTheme="minorHAnsi" w:cstheme="minorHAnsi"/>
                <w:b/>
                <w:bCs/>
                <w:sz w:val="22"/>
                <w:lang w:eastAsia="fr-FR"/>
              </w:rPr>
              <w:t>Article</w:t>
            </w:r>
            <w:proofErr w:type="spellEnd"/>
            <w:r w:rsidRPr="007A377E">
              <w:rPr>
                <w:rFonts w:asciiTheme="minorHAnsi" w:hAnsiTheme="minorHAnsi" w:cstheme="minorHAnsi"/>
                <w:b/>
                <w:bCs/>
                <w:sz w:val="22"/>
                <w:lang w:eastAsia="fr-FR"/>
              </w:rPr>
              <w:t xml:space="preserve"> </w:t>
            </w:r>
            <w:r>
              <w:rPr>
                <w:rFonts w:asciiTheme="minorHAnsi" w:hAnsiTheme="minorHAnsi" w:cstheme="minorHAnsi"/>
                <w:b/>
                <w:bCs/>
                <w:sz w:val="22"/>
                <w:lang w:eastAsia="fr-FR"/>
              </w:rPr>
              <w:t>19</w:t>
            </w:r>
          </w:p>
        </w:tc>
        <w:tc>
          <w:tcPr>
            <w:tcW w:w="4508" w:type="dxa"/>
          </w:tcPr>
          <w:p w14:paraId="3959E9C1" w14:textId="0F15D1C4" w:rsidR="00ED34AE" w:rsidRPr="005648EB" w:rsidRDefault="00ED34AE" w:rsidP="00ED34AE">
            <w:pPr>
              <w:jc w:val="center"/>
              <w:rPr>
                <w:rFonts w:asciiTheme="minorHAnsi" w:hAnsiTheme="minorHAnsi" w:cstheme="minorHAnsi"/>
                <w:sz w:val="22"/>
              </w:rPr>
            </w:pPr>
            <w:r w:rsidRPr="007A377E">
              <w:rPr>
                <w:rFonts w:asciiTheme="minorHAnsi" w:hAnsiTheme="minorHAnsi" w:cstheme="minorHAnsi"/>
                <w:b/>
                <w:bCs/>
                <w:sz w:val="22"/>
                <w:lang w:eastAsia="fr-FR"/>
              </w:rPr>
              <w:t xml:space="preserve">Artikel </w:t>
            </w:r>
            <w:r>
              <w:rPr>
                <w:rFonts w:asciiTheme="minorHAnsi" w:hAnsiTheme="minorHAnsi" w:cstheme="minorHAnsi"/>
                <w:b/>
                <w:bCs/>
                <w:sz w:val="22"/>
                <w:lang w:eastAsia="fr-FR"/>
              </w:rPr>
              <w:t>19</w:t>
            </w:r>
          </w:p>
        </w:tc>
      </w:tr>
      <w:tr w:rsidR="00ED34AE" w:rsidRPr="005648EB" w14:paraId="4691185E" w14:textId="77777777" w:rsidTr="0025113D">
        <w:tc>
          <w:tcPr>
            <w:tcW w:w="4508" w:type="dxa"/>
          </w:tcPr>
          <w:p w14:paraId="60BB24B0" w14:textId="77777777" w:rsidR="00ED34AE" w:rsidRPr="005648EB" w:rsidRDefault="00ED34AE" w:rsidP="00ED34AE">
            <w:pPr>
              <w:rPr>
                <w:rFonts w:asciiTheme="minorHAnsi" w:hAnsiTheme="minorHAnsi" w:cstheme="minorHAnsi"/>
                <w:sz w:val="22"/>
              </w:rPr>
            </w:pPr>
          </w:p>
        </w:tc>
        <w:tc>
          <w:tcPr>
            <w:tcW w:w="4508" w:type="dxa"/>
          </w:tcPr>
          <w:p w14:paraId="067B62FC" w14:textId="77777777" w:rsidR="00ED34AE" w:rsidRPr="005648EB" w:rsidRDefault="00ED34AE" w:rsidP="00ED34AE">
            <w:pPr>
              <w:rPr>
                <w:rFonts w:asciiTheme="minorHAnsi" w:hAnsiTheme="minorHAnsi" w:cstheme="minorHAnsi"/>
                <w:sz w:val="22"/>
              </w:rPr>
            </w:pPr>
          </w:p>
        </w:tc>
      </w:tr>
      <w:tr w:rsidR="00ED34AE" w:rsidRPr="00A715CA" w14:paraId="3682D2AE" w14:textId="77777777" w:rsidTr="0025113D">
        <w:tc>
          <w:tcPr>
            <w:tcW w:w="4508" w:type="dxa"/>
          </w:tcPr>
          <w:p w14:paraId="7BED0404" w14:textId="4B2BB626" w:rsidR="00ED34AE" w:rsidRPr="004600D3" w:rsidRDefault="00ED34AE" w:rsidP="00ED34AE">
            <w:pPr>
              <w:rPr>
                <w:rFonts w:asciiTheme="minorHAnsi" w:hAnsiTheme="minorHAnsi" w:cstheme="minorHAnsi"/>
                <w:sz w:val="22"/>
                <w:lang w:val="fr-BE"/>
              </w:rPr>
            </w:pPr>
            <w:r>
              <w:rPr>
                <w:rFonts w:asciiTheme="minorHAnsi" w:eastAsia="Times New Roman" w:hAnsiTheme="minorHAnsi" w:cstheme="minorHAnsi"/>
                <w:bCs/>
                <w:sz w:val="22"/>
                <w:lang w:val="fr-FR" w:eastAsia="fr-FR"/>
              </w:rPr>
              <w:t>Les modifications proposées par l’article 19 sont remplacées par ce qui suit :</w:t>
            </w:r>
          </w:p>
        </w:tc>
        <w:tc>
          <w:tcPr>
            <w:tcW w:w="4508" w:type="dxa"/>
          </w:tcPr>
          <w:p w14:paraId="4EBFFE12" w14:textId="7FDE0BF9" w:rsidR="00ED34AE" w:rsidRPr="00A715CA" w:rsidRDefault="00ED34AE" w:rsidP="00ED34AE">
            <w:pPr>
              <w:rPr>
                <w:rFonts w:asciiTheme="minorHAnsi" w:hAnsiTheme="minorHAnsi" w:cstheme="minorHAnsi"/>
                <w:sz w:val="22"/>
              </w:rPr>
            </w:pPr>
            <w:r w:rsidRPr="003A1B2B">
              <w:rPr>
                <w:rFonts w:asciiTheme="minorHAnsi" w:eastAsia="Times New Roman" w:hAnsiTheme="minorHAnsi" w:cstheme="minorHAnsi"/>
                <w:bCs/>
                <w:sz w:val="22"/>
                <w:lang w:eastAsia="fr-FR"/>
              </w:rPr>
              <w:t>De voorgestelde wijzigingen bij artikel 19 worden vervangen als volgt:</w:t>
            </w:r>
          </w:p>
        </w:tc>
      </w:tr>
      <w:tr w:rsidR="00ED34AE" w:rsidRPr="00A715CA" w14:paraId="277F006F" w14:textId="77777777" w:rsidTr="0025113D">
        <w:tc>
          <w:tcPr>
            <w:tcW w:w="4508" w:type="dxa"/>
          </w:tcPr>
          <w:p w14:paraId="1A3B604F" w14:textId="77777777" w:rsidR="00ED34AE" w:rsidRPr="00A715CA" w:rsidRDefault="00ED34AE" w:rsidP="00ED34AE">
            <w:pPr>
              <w:rPr>
                <w:rFonts w:asciiTheme="minorHAnsi" w:hAnsiTheme="minorHAnsi" w:cstheme="minorHAnsi"/>
                <w:sz w:val="22"/>
              </w:rPr>
            </w:pPr>
          </w:p>
        </w:tc>
        <w:tc>
          <w:tcPr>
            <w:tcW w:w="4508" w:type="dxa"/>
          </w:tcPr>
          <w:p w14:paraId="72EA745D" w14:textId="77777777" w:rsidR="00ED34AE" w:rsidRPr="00A715CA" w:rsidRDefault="00ED34AE" w:rsidP="00ED34AE">
            <w:pPr>
              <w:rPr>
                <w:rFonts w:asciiTheme="minorHAnsi" w:hAnsiTheme="minorHAnsi" w:cstheme="minorHAnsi"/>
                <w:sz w:val="22"/>
              </w:rPr>
            </w:pPr>
          </w:p>
        </w:tc>
      </w:tr>
      <w:tr w:rsidR="00ED34AE" w:rsidRPr="00A715CA" w14:paraId="0962BC65" w14:textId="77777777" w:rsidTr="0025113D">
        <w:tc>
          <w:tcPr>
            <w:tcW w:w="4508" w:type="dxa"/>
          </w:tcPr>
          <w:p w14:paraId="1F77F497" w14:textId="486A0079" w:rsidR="00ED34AE" w:rsidRPr="00E26EB5" w:rsidRDefault="00ED34AE" w:rsidP="00ED34AE">
            <w:pPr>
              <w:jc w:val="both"/>
              <w:rPr>
                <w:rFonts w:asciiTheme="minorHAnsi" w:hAnsiTheme="minorHAnsi" w:cstheme="minorHAnsi"/>
                <w:sz w:val="22"/>
                <w:lang w:val="fr-BE"/>
              </w:rPr>
            </w:pPr>
            <w:r>
              <w:rPr>
                <w:rFonts w:asciiTheme="minorHAnsi" w:hAnsiTheme="minorHAnsi" w:cstheme="minorHAnsi"/>
                <w:sz w:val="22"/>
                <w:lang w:val="fr-BE"/>
              </w:rPr>
              <w:t>« </w:t>
            </w:r>
            <w:r w:rsidRPr="00D804AF">
              <w:rPr>
                <w:rFonts w:asciiTheme="minorHAnsi" w:hAnsiTheme="minorHAnsi" w:cstheme="minorHAnsi"/>
                <w:b/>
                <w:bCs/>
                <w:sz w:val="22"/>
                <w:lang w:val="fr-BE"/>
              </w:rPr>
              <w:t>Art. 19.</w:t>
            </w:r>
            <w:r>
              <w:rPr>
                <w:rFonts w:asciiTheme="minorHAnsi" w:hAnsiTheme="minorHAnsi" w:cstheme="minorHAnsi"/>
                <w:sz w:val="22"/>
                <w:lang w:val="fr-BE"/>
              </w:rPr>
              <w:t xml:space="preserve"> Dans la même loi, l'alinéa 1</w:t>
            </w:r>
            <w:r w:rsidRPr="00D77B9F">
              <w:rPr>
                <w:rFonts w:asciiTheme="minorHAnsi" w:hAnsiTheme="minorHAnsi" w:cstheme="minorHAnsi"/>
                <w:sz w:val="22"/>
                <w:vertAlign w:val="superscript"/>
                <w:lang w:val="fr-BE"/>
              </w:rPr>
              <w:t>er</w:t>
            </w:r>
            <w:r>
              <w:rPr>
                <w:rFonts w:asciiTheme="minorHAnsi" w:hAnsiTheme="minorHAnsi" w:cstheme="minorHAnsi"/>
                <w:sz w:val="22"/>
                <w:lang w:val="fr-BE"/>
              </w:rPr>
              <w:t xml:space="preserve"> de l'article 24 devient le paragraphe 1</w:t>
            </w:r>
            <w:r w:rsidRPr="00D77B9F">
              <w:rPr>
                <w:rFonts w:asciiTheme="minorHAnsi" w:hAnsiTheme="minorHAnsi" w:cstheme="minorHAnsi"/>
                <w:sz w:val="22"/>
                <w:vertAlign w:val="superscript"/>
                <w:lang w:val="fr-BE"/>
              </w:rPr>
              <w:t>er</w:t>
            </w:r>
            <w:r>
              <w:rPr>
                <w:rFonts w:asciiTheme="minorHAnsi" w:hAnsiTheme="minorHAnsi" w:cstheme="minorHAnsi"/>
                <w:sz w:val="22"/>
                <w:lang w:val="fr-BE"/>
              </w:rPr>
              <w:t xml:space="preserve"> de cet article. </w:t>
            </w:r>
          </w:p>
        </w:tc>
        <w:tc>
          <w:tcPr>
            <w:tcW w:w="4508" w:type="dxa"/>
          </w:tcPr>
          <w:p w14:paraId="57EF10C2" w14:textId="23D9BED3" w:rsidR="00ED34AE" w:rsidRPr="00A715CA" w:rsidRDefault="00ED34AE" w:rsidP="00ED34AE">
            <w:pPr>
              <w:jc w:val="both"/>
              <w:rPr>
                <w:rFonts w:asciiTheme="minorHAnsi" w:hAnsiTheme="minorHAnsi" w:cstheme="minorHAnsi"/>
                <w:sz w:val="22"/>
              </w:rPr>
            </w:pPr>
            <w:r w:rsidRPr="003A1B2B">
              <w:rPr>
                <w:rFonts w:asciiTheme="minorHAnsi" w:hAnsiTheme="minorHAnsi" w:cstheme="minorHAnsi"/>
                <w:sz w:val="22"/>
              </w:rPr>
              <w:t>“</w:t>
            </w:r>
            <w:r w:rsidRPr="00D804AF">
              <w:rPr>
                <w:rFonts w:asciiTheme="minorHAnsi" w:hAnsiTheme="minorHAnsi" w:cstheme="minorHAnsi"/>
                <w:b/>
                <w:bCs/>
                <w:sz w:val="22"/>
              </w:rPr>
              <w:t>Art. 19.</w:t>
            </w:r>
            <w:r w:rsidRPr="003A1B2B">
              <w:rPr>
                <w:rFonts w:asciiTheme="minorHAnsi" w:hAnsiTheme="minorHAnsi" w:cstheme="minorHAnsi"/>
                <w:sz w:val="22"/>
              </w:rPr>
              <w:t xml:space="preserve"> In dezelfde wet, </w:t>
            </w:r>
            <w:r>
              <w:rPr>
                <w:rFonts w:asciiTheme="minorHAnsi" w:hAnsiTheme="minorHAnsi" w:cstheme="minorHAnsi"/>
                <w:sz w:val="22"/>
              </w:rPr>
              <w:t>wordt h</w:t>
            </w:r>
            <w:r w:rsidRPr="003A1B2B">
              <w:rPr>
                <w:rFonts w:asciiTheme="minorHAnsi" w:hAnsiTheme="minorHAnsi" w:cstheme="minorHAnsi"/>
                <w:sz w:val="22"/>
              </w:rPr>
              <w:t>et eerste lid van artikel 24 paragraaf 1 van dit artikel.</w:t>
            </w:r>
          </w:p>
        </w:tc>
      </w:tr>
      <w:tr w:rsidR="00ED34AE" w:rsidRPr="00A715CA" w14:paraId="68840AE6" w14:textId="77777777" w:rsidTr="0025113D">
        <w:tc>
          <w:tcPr>
            <w:tcW w:w="4508" w:type="dxa"/>
          </w:tcPr>
          <w:p w14:paraId="2E498163" w14:textId="77777777" w:rsidR="00ED34AE" w:rsidRPr="00A715CA" w:rsidRDefault="00ED34AE" w:rsidP="00ED34AE">
            <w:pPr>
              <w:jc w:val="both"/>
              <w:rPr>
                <w:rFonts w:asciiTheme="minorHAnsi" w:hAnsiTheme="minorHAnsi" w:cstheme="minorHAnsi"/>
                <w:sz w:val="22"/>
              </w:rPr>
            </w:pPr>
          </w:p>
        </w:tc>
        <w:tc>
          <w:tcPr>
            <w:tcW w:w="4508" w:type="dxa"/>
          </w:tcPr>
          <w:p w14:paraId="54F57B32" w14:textId="77777777" w:rsidR="00ED34AE" w:rsidRPr="00A715CA" w:rsidRDefault="00ED34AE" w:rsidP="00ED34AE">
            <w:pPr>
              <w:jc w:val="both"/>
              <w:rPr>
                <w:rFonts w:asciiTheme="minorHAnsi" w:hAnsiTheme="minorHAnsi" w:cstheme="minorHAnsi"/>
                <w:sz w:val="22"/>
              </w:rPr>
            </w:pPr>
          </w:p>
        </w:tc>
      </w:tr>
      <w:tr w:rsidR="00ED34AE" w:rsidRPr="00A715CA" w14:paraId="4D2EC411" w14:textId="77777777" w:rsidTr="0025113D">
        <w:tc>
          <w:tcPr>
            <w:tcW w:w="4508" w:type="dxa"/>
          </w:tcPr>
          <w:p w14:paraId="038D712B" w14:textId="4CC0EC78" w:rsidR="00ED34AE" w:rsidRPr="00E26EB5" w:rsidRDefault="00ED34AE" w:rsidP="00ED34AE">
            <w:pPr>
              <w:jc w:val="both"/>
              <w:rPr>
                <w:rFonts w:asciiTheme="minorHAnsi" w:hAnsiTheme="minorHAnsi" w:cstheme="minorHAnsi"/>
                <w:sz w:val="22"/>
                <w:lang w:val="fr-BE"/>
              </w:rPr>
            </w:pPr>
            <w:r>
              <w:rPr>
                <w:rFonts w:asciiTheme="minorHAnsi" w:hAnsiTheme="minorHAnsi" w:cstheme="minorHAnsi"/>
                <w:sz w:val="22"/>
                <w:lang w:val="fr-BE"/>
              </w:rPr>
              <w:t>L</w:t>
            </w:r>
            <w:r w:rsidRPr="00E26EB5">
              <w:rPr>
                <w:rFonts w:asciiTheme="minorHAnsi" w:hAnsiTheme="minorHAnsi" w:cstheme="minorHAnsi"/>
                <w:sz w:val="22"/>
                <w:lang w:val="fr-BE"/>
              </w:rPr>
              <w:t xml:space="preserve">’article 24 </w:t>
            </w:r>
            <w:r>
              <w:rPr>
                <w:rFonts w:asciiTheme="minorHAnsi" w:hAnsiTheme="minorHAnsi" w:cstheme="minorHAnsi"/>
                <w:sz w:val="22"/>
                <w:lang w:val="fr-BE"/>
              </w:rPr>
              <w:t xml:space="preserve">de la même loi est complété </w:t>
            </w:r>
            <w:r w:rsidRPr="00E26EB5">
              <w:rPr>
                <w:rFonts w:asciiTheme="minorHAnsi" w:hAnsiTheme="minorHAnsi" w:cstheme="minorHAnsi"/>
                <w:sz w:val="22"/>
                <w:lang w:val="fr-BE"/>
              </w:rPr>
              <w:t>par un p</w:t>
            </w:r>
            <w:r>
              <w:rPr>
                <w:rFonts w:asciiTheme="minorHAnsi" w:hAnsiTheme="minorHAnsi" w:cstheme="minorHAnsi"/>
                <w:sz w:val="22"/>
                <w:lang w:val="fr-BE"/>
              </w:rPr>
              <w:t xml:space="preserve">aragraphe 2, rédigé comme suit : </w:t>
            </w:r>
          </w:p>
        </w:tc>
        <w:tc>
          <w:tcPr>
            <w:tcW w:w="4508" w:type="dxa"/>
          </w:tcPr>
          <w:p w14:paraId="643B2CB3" w14:textId="0C84B1FA" w:rsidR="00ED34AE" w:rsidRPr="00A715CA" w:rsidRDefault="00ED34AE" w:rsidP="00ED34AE">
            <w:pPr>
              <w:jc w:val="both"/>
              <w:rPr>
                <w:rFonts w:asciiTheme="minorHAnsi" w:hAnsiTheme="minorHAnsi" w:cstheme="minorHAnsi"/>
                <w:sz w:val="22"/>
              </w:rPr>
            </w:pPr>
            <w:r w:rsidRPr="003A1B2B">
              <w:rPr>
                <w:rFonts w:asciiTheme="minorHAnsi" w:hAnsiTheme="minorHAnsi" w:cstheme="minorHAnsi"/>
                <w:sz w:val="22"/>
              </w:rPr>
              <w:t xml:space="preserve">Artikel 24 van dezelfde wet wordt aangevuld met een paragraaf 2, luidende: </w:t>
            </w:r>
          </w:p>
        </w:tc>
      </w:tr>
      <w:tr w:rsidR="00ED34AE" w:rsidRPr="00A715CA" w14:paraId="5941A1A0" w14:textId="77777777" w:rsidTr="0025113D">
        <w:tc>
          <w:tcPr>
            <w:tcW w:w="4508" w:type="dxa"/>
          </w:tcPr>
          <w:p w14:paraId="2A4B4417" w14:textId="77777777" w:rsidR="00ED34AE" w:rsidRPr="00A715CA" w:rsidRDefault="00ED34AE" w:rsidP="00ED34AE">
            <w:pPr>
              <w:rPr>
                <w:rFonts w:asciiTheme="minorHAnsi" w:hAnsiTheme="minorHAnsi" w:cstheme="minorHAnsi"/>
                <w:sz w:val="22"/>
              </w:rPr>
            </w:pPr>
          </w:p>
        </w:tc>
        <w:tc>
          <w:tcPr>
            <w:tcW w:w="4508" w:type="dxa"/>
          </w:tcPr>
          <w:p w14:paraId="247FE359" w14:textId="77777777" w:rsidR="00ED34AE" w:rsidRPr="00A715CA" w:rsidRDefault="00ED34AE" w:rsidP="00ED34AE">
            <w:pPr>
              <w:rPr>
                <w:rFonts w:asciiTheme="minorHAnsi" w:hAnsiTheme="minorHAnsi" w:cstheme="minorHAnsi"/>
                <w:sz w:val="22"/>
              </w:rPr>
            </w:pPr>
          </w:p>
        </w:tc>
      </w:tr>
      <w:tr w:rsidR="00ED34AE" w:rsidRPr="00A715CA" w14:paraId="1BA5C15C" w14:textId="77777777" w:rsidTr="0025113D">
        <w:tc>
          <w:tcPr>
            <w:tcW w:w="4508" w:type="dxa"/>
          </w:tcPr>
          <w:p w14:paraId="076ACFA3" w14:textId="3C26BC95" w:rsidR="00ED34AE" w:rsidRPr="00F022F8" w:rsidRDefault="003A24C7" w:rsidP="00ED34AE">
            <w:pPr>
              <w:jc w:val="both"/>
              <w:rPr>
                <w:rFonts w:ascii="Calibri" w:hAnsi="Calibri" w:cs="Calibri"/>
                <w:sz w:val="22"/>
                <w:lang w:val="fr-BE"/>
              </w:rPr>
            </w:pPr>
            <w:r w:rsidRPr="003A24C7">
              <w:rPr>
                <w:rFonts w:ascii="Calibri" w:hAnsi="Calibri" w:cs="Calibri"/>
                <w:sz w:val="22"/>
                <w:lang w:val="fr-BE"/>
              </w:rPr>
              <w:t>«</w:t>
            </w:r>
            <w:r>
              <w:rPr>
                <w:rFonts w:ascii="Calibri" w:hAnsi="Calibri" w:cs="Calibri"/>
                <w:b/>
                <w:bCs/>
                <w:sz w:val="22"/>
                <w:lang w:val="fr-BE"/>
              </w:rPr>
              <w:t> </w:t>
            </w:r>
            <w:r w:rsidR="00ED34AE" w:rsidRPr="00F022F8">
              <w:rPr>
                <w:rFonts w:ascii="Calibri" w:hAnsi="Calibri" w:cs="Calibri"/>
                <w:b/>
                <w:bCs/>
                <w:sz w:val="22"/>
                <w:lang w:val="fr-BE"/>
              </w:rPr>
              <w:t>§2.</w:t>
            </w:r>
            <w:r w:rsidR="00ED34AE" w:rsidRPr="00F022F8">
              <w:rPr>
                <w:rFonts w:ascii="Calibri" w:hAnsi="Calibri" w:cs="Calibri"/>
                <w:sz w:val="22"/>
                <w:lang w:val="fr-BE"/>
              </w:rPr>
              <w:t xml:space="preserve"> Le Roi désigne, parmi les officiers de police judiciaire de l’Institut visés au § 1er, ceux qui sont chargés du contrôle des demandes visées à l’article 25/1, §§ 1 et 3.</w:t>
            </w:r>
            <w:r w:rsidR="00ED34AE" w:rsidRPr="00F022F8" w:rsidDel="00A83EC8">
              <w:rPr>
                <w:rFonts w:ascii="Calibri" w:hAnsi="Calibri" w:cs="Calibri"/>
                <w:sz w:val="22"/>
                <w:lang w:val="fr-BE"/>
              </w:rPr>
              <w:t xml:space="preserve"> </w:t>
            </w:r>
          </w:p>
        </w:tc>
        <w:tc>
          <w:tcPr>
            <w:tcW w:w="4508" w:type="dxa"/>
          </w:tcPr>
          <w:p w14:paraId="27AC64DA" w14:textId="6A8AD0EF" w:rsidR="00ED34AE" w:rsidRPr="00F022F8" w:rsidRDefault="003A24C7" w:rsidP="00ED34AE">
            <w:pPr>
              <w:jc w:val="both"/>
              <w:rPr>
                <w:rFonts w:ascii="Calibri" w:hAnsi="Calibri" w:cs="Calibri"/>
                <w:sz w:val="22"/>
              </w:rPr>
            </w:pPr>
            <w:r w:rsidRPr="003A24C7">
              <w:rPr>
                <w:rFonts w:ascii="Calibri" w:hAnsi="Calibri" w:cs="Calibri"/>
                <w:sz w:val="22"/>
              </w:rPr>
              <w:t>“</w:t>
            </w:r>
            <w:r w:rsidR="00ED34AE" w:rsidRPr="00F022F8">
              <w:rPr>
                <w:rFonts w:ascii="Calibri" w:hAnsi="Calibri" w:cs="Calibri"/>
                <w:b/>
                <w:bCs/>
                <w:sz w:val="22"/>
              </w:rPr>
              <w:t>§ 2.</w:t>
            </w:r>
            <w:r w:rsidR="00ED34AE" w:rsidRPr="00F022F8">
              <w:rPr>
                <w:rFonts w:ascii="Calibri" w:hAnsi="Calibri" w:cs="Calibri"/>
                <w:sz w:val="22"/>
              </w:rPr>
              <w:t xml:space="preserve"> De Koning wijst onder de in § 1 bedoelde officieren van gerechtelijke politie van het Instituut diegenen aan die belast worden met de controle van de in artikel 25/1, §§ 1 en 3 beoogde verzoeken.</w:t>
            </w:r>
          </w:p>
        </w:tc>
      </w:tr>
      <w:tr w:rsidR="00ED34AE" w:rsidRPr="00A715CA" w14:paraId="6E661EA5" w14:textId="77777777" w:rsidTr="0025113D">
        <w:tc>
          <w:tcPr>
            <w:tcW w:w="4508" w:type="dxa"/>
          </w:tcPr>
          <w:p w14:paraId="61779226" w14:textId="77777777" w:rsidR="00ED34AE" w:rsidRPr="00F022F8" w:rsidRDefault="00ED34AE" w:rsidP="00ED34AE">
            <w:pPr>
              <w:jc w:val="both"/>
              <w:rPr>
                <w:rFonts w:ascii="Calibri" w:hAnsi="Calibri" w:cs="Calibri"/>
                <w:sz w:val="22"/>
              </w:rPr>
            </w:pPr>
          </w:p>
        </w:tc>
        <w:tc>
          <w:tcPr>
            <w:tcW w:w="4508" w:type="dxa"/>
          </w:tcPr>
          <w:p w14:paraId="432E9DBC" w14:textId="77777777" w:rsidR="00ED34AE" w:rsidRPr="00F022F8" w:rsidRDefault="00ED34AE" w:rsidP="00ED34AE">
            <w:pPr>
              <w:jc w:val="both"/>
              <w:rPr>
                <w:rFonts w:ascii="Calibri" w:hAnsi="Calibri" w:cs="Calibri"/>
                <w:sz w:val="22"/>
              </w:rPr>
            </w:pPr>
          </w:p>
        </w:tc>
      </w:tr>
      <w:tr w:rsidR="00ED34AE" w:rsidRPr="00A715CA" w14:paraId="0746BC22" w14:textId="77777777" w:rsidTr="0025113D">
        <w:tc>
          <w:tcPr>
            <w:tcW w:w="4508" w:type="dxa"/>
          </w:tcPr>
          <w:p w14:paraId="6F9434EE" w14:textId="28DB30B9" w:rsidR="00ED34AE" w:rsidRPr="00F022F8" w:rsidRDefault="00ED34AE" w:rsidP="00ED34AE">
            <w:pPr>
              <w:jc w:val="both"/>
              <w:rPr>
                <w:rFonts w:ascii="Calibri" w:hAnsi="Calibri" w:cs="Calibri"/>
                <w:sz w:val="22"/>
                <w:lang w:val="fr-BE"/>
              </w:rPr>
            </w:pPr>
            <w:r w:rsidRPr="00F022F8">
              <w:rPr>
                <w:rFonts w:ascii="Calibri" w:hAnsi="Calibri" w:cs="Calibri"/>
                <w:sz w:val="22"/>
                <w:lang w:val="fr-BE"/>
              </w:rPr>
              <w:t>Sans préjudice de l’article 25, paragraphe 5, les officiers de police judiciaire de l’Institut désignés par le Roi en vertu de l’alinéa précédent, exécutent leur mission en toute indépendance. Ils ne peuvent être soumis à aucun lien de subordination à l’égard des autres officiers de police judiciaire de l’Institut.</w:t>
            </w:r>
            <w:r w:rsidR="003A24C7">
              <w:rPr>
                <w:rFonts w:ascii="Calibri" w:hAnsi="Calibri" w:cs="Calibri"/>
                <w:sz w:val="22"/>
                <w:lang w:val="fr-BE"/>
              </w:rPr>
              <w:t> »</w:t>
            </w:r>
          </w:p>
        </w:tc>
        <w:tc>
          <w:tcPr>
            <w:tcW w:w="4508" w:type="dxa"/>
          </w:tcPr>
          <w:p w14:paraId="23BF91BD" w14:textId="0122AB0B" w:rsidR="00ED34AE" w:rsidRPr="00F022F8" w:rsidRDefault="00ED34AE" w:rsidP="00ED34AE">
            <w:pPr>
              <w:jc w:val="both"/>
              <w:rPr>
                <w:rFonts w:ascii="Calibri" w:hAnsi="Calibri" w:cs="Calibri"/>
                <w:sz w:val="22"/>
              </w:rPr>
            </w:pPr>
            <w:r w:rsidRPr="00F022F8">
              <w:rPr>
                <w:rFonts w:ascii="Calibri" w:hAnsi="Calibri" w:cs="Calibri"/>
                <w:sz w:val="22"/>
              </w:rPr>
              <w:t>Onverminderd artikel 25, paragraaf 5, voeren de officieren van gerechtelijke politie van het Instituut die krachtens het voorgaande lid door de Koning aangesteld zijn, hun opdracht volledig onafhankelijk uit. Zij mogen niet worden onderworpen aan een ondergeschikt verband ten opzichte van de andere officieren van gerechtelijke politie van het Instituut.</w:t>
            </w:r>
            <w:r w:rsidR="003A24C7">
              <w:rPr>
                <w:rFonts w:ascii="Calibri" w:hAnsi="Calibri" w:cs="Calibri"/>
                <w:sz w:val="22"/>
              </w:rPr>
              <w:t>”</w:t>
            </w:r>
          </w:p>
        </w:tc>
      </w:tr>
      <w:tr w:rsidR="00ED34AE" w:rsidRPr="00A715CA" w14:paraId="0C20AB9F" w14:textId="77777777" w:rsidTr="0025113D">
        <w:tc>
          <w:tcPr>
            <w:tcW w:w="4508" w:type="dxa"/>
          </w:tcPr>
          <w:p w14:paraId="3FAC07DE" w14:textId="77777777" w:rsidR="00ED34AE" w:rsidRPr="00A715CA" w:rsidRDefault="00ED34AE" w:rsidP="00ED34AE">
            <w:pPr>
              <w:rPr>
                <w:rFonts w:asciiTheme="minorHAnsi" w:hAnsiTheme="minorHAnsi" w:cstheme="minorHAnsi"/>
                <w:sz w:val="22"/>
              </w:rPr>
            </w:pPr>
          </w:p>
        </w:tc>
        <w:tc>
          <w:tcPr>
            <w:tcW w:w="4508" w:type="dxa"/>
          </w:tcPr>
          <w:p w14:paraId="45B6AD3C" w14:textId="77777777" w:rsidR="00ED34AE" w:rsidRPr="00A715CA" w:rsidRDefault="00ED34AE" w:rsidP="00ED34AE">
            <w:pPr>
              <w:rPr>
                <w:rFonts w:asciiTheme="minorHAnsi" w:hAnsiTheme="minorHAnsi" w:cstheme="minorHAnsi"/>
                <w:sz w:val="22"/>
              </w:rPr>
            </w:pPr>
          </w:p>
        </w:tc>
      </w:tr>
      <w:tr w:rsidR="00ED34AE" w:rsidRPr="005648EB" w14:paraId="63763190" w14:textId="77777777" w:rsidTr="0025113D">
        <w:tc>
          <w:tcPr>
            <w:tcW w:w="4508" w:type="dxa"/>
          </w:tcPr>
          <w:p w14:paraId="1033B18B" w14:textId="2E28D9D5" w:rsidR="00ED34AE" w:rsidRPr="005648EB" w:rsidRDefault="00ED34AE" w:rsidP="00ED34AE">
            <w:pPr>
              <w:jc w:val="center"/>
              <w:rPr>
                <w:rFonts w:asciiTheme="minorHAnsi" w:hAnsiTheme="minorHAnsi" w:cstheme="minorHAnsi"/>
                <w:sz w:val="22"/>
              </w:rPr>
            </w:pPr>
            <w:r w:rsidRPr="007A377E">
              <w:rPr>
                <w:rFonts w:asciiTheme="minorHAnsi" w:hAnsiTheme="minorHAnsi" w:cstheme="minorHAnsi"/>
                <w:b/>
                <w:bCs/>
                <w:sz w:val="22"/>
                <w:lang w:eastAsia="fr-FR"/>
              </w:rPr>
              <w:t>JUSTIFICATION</w:t>
            </w:r>
          </w:p>
        </w:tc>
        <w:tc>
          <w:tcPr>
            <w:tcW w:w="4508" w:type="dxa"/>
          </w:tcPr>
          <w:p w14:paraId="2A2EE0E3" w14:textId="703992CC" w:rsidR="00ED34AE" w:rsidRPr="005648EB" w:rsidRDefault="00ED34AE" w:rsidP="00ED34AE">
            <w:pPr>
              <w:jc w:val="center"/>
              <w:rPr>
                <w:rFonts w:asciiTheme="minorHAnsi" w:hAnsiTheme="minorHAnsi" w:cstheme="minorHAnsi"/>
                <w:sz w:val="22"/>
              </w:rPr>
            </w:pPr>
            <w:r w:rsidRPr="007A377E">
              <w:rPr>
                <w:rFonts w:asciiTheme="minorHAnsi" w:hAnsiTheme="minorHAnsi" w:cstheme="minorHAnsi"/>
                <w:b/>
                <w:bCs/>
                <w:sz w:val="22"/>
                <w:lang w:val="fr-BE" w:eastAsia="fr-FR"/>
              </w:rPr>
              <w:t>VERANTWOORDING</w:t>
            </w:r>
          </w:p>
        </w:tc>
      </w:tr>
      <w:tr w:rsidR="00ED34AE" w:rsidRPr="005648EB" w14:paraId="2048FD6F" w14:textId="77777777" w:rsidTr="0025113D">
        <w:tc>
          <w:tcPr>
            <w:tcW w:w="4508" w:type="dxa"/>
          </w:tcPr>
          <w:p w14:paraId="01616D58" w14:textId="77777777" w:rsidR="00ED34AE" w:rsidRPr="007A377E" w:rsidRDefault="00ED34AE" w:rsidP="00ED34AE">
            <w:pPr>
              <w:jc w:val="center"/>
              <w:rPr>
                <w:rFonts w:asciiTheme="minorHAnsi" w:hAnsiTheme="minorHAnsi" w:cstheme="minorHAnsi"/>
                <w:b/>
                <w:bCs/>
                <w:sz w:val="22"/>
                <w:lang w:eastAsia="fr-FR"/>
              </w:rPr>
            </w:pPr>
          </w:p>
        </w:tc>
        <w:tc>
          <w:tcPr>
            <w:tcW w:w="4508" w:type="dxa"/>
          </w:tcPr>
          <w:p w14:paraId="11AC7674" w14:textId="77777777" w:rsidR="00ED34AE" w:rsidRPr="007A377E" w:rsidRDefault="00ED34AE" w:rsidP="00ED34AE">
            <w:pPr>
              <w:jc w:val="center"/>
              <w:rPr>
                <w:rFonts w:asciiTheme="minorHAnsi" w:hAnsiTheme="minorHAnsi" w:cstheme="minorHAnsi"/>
                <w:b/>
                <w:bCs/>
                <w:sz w:val="22"/>
                <w:lang w:val="fr-BE" w:eastAsia="fr-FR"/>
              </w:rPr>
            </w:pPr>
          </w:p>
        </w:tc>
      </w:tr>
      <w:tr w:rsidR="00866F12" w:rsidRPr="005648EB" w14:paraId="5AB088BC" w14:textId="77777777" w:rsidTr="0025113D">
        <w:tc>
          <w:tcPr>
            <w:tcW w:w="4508" w:type="dxa"/>
          </w:tcPr>
          <w:p w14:paraId="79C620A6" w14:textId="3D891C5A" w:rsidR="00866F12" w:rsidRPr="00866F12" w:rsidRDefault="00866F12" w:rsidP="00866F12">
            <w:pPr>
              <w:jc w:val="both"/>
              <w:rPr>
                <w:rFonts w:ascii="Calibri" w:hAnsi="Calibri" w:cs="Calibri"/>
                <w:sz w:val="22"/>
                <w:lang w:val="fr-BE"/>
              </w:rPr>
            </w:pPr>
            <w:r w:rsidRPr="00866F12">
              <w:rPr>
                <w:rFonts w:ascii="Calibri" w:hAnsi="Calibri" w:cs="Calibri"/>
                <w:sz w:val="22"/>
                <w:lang w:val="fr-BE"/>
              </w:rPr>
              <w:t>Un nouveau paragraphe 2 est ajouté à l’article 24 existant de la loi statut IBPT de manière à créer un mécanisme interne de contrôle de la régularité des demandes visées à l’article 25/1, §§ 1 et 3 formulées par les officiers de police judiciaire de l’IBPT dans le cadre de la recherche et la constatation des infractions pénales qui relèvent de leurs compétences en vertu de l’article 24 § 1</w:t>
            </w:r>
            <w:r w:rsidRPr="00866F12">
              <w:rPr>
                <w:rFonts w:ascii="Calibri" w:hAnsi="Calibri" w:cs="Calibri"/>
                <w:sz w:val="22"/>
                <w:vertAlign w:val="superscript"/>
                <w:lang w:val="fr-BE"/>
              </w:rPr>
              <w:t>er</w:t>
            </w:r>
            <w:r w:rsidRPr="00866F12">
              <w:rPr>
                <w:rFonts w:ascii="Calibri" w:hAnsi="Calibri" w:cs="Calibri"/>
                <w:sz w:val="22"/>
                <w:lang w:val="fr-BE"/>
              </w:rPr>
              <w:t>.</w:t>
            </w:r>
          </w:p>
        </w:tc>
        <w:tc>
          <w:tcPr>
            <w:tcW w:w="4508" w:type="dxa"/>
          </w:tcPr>
          <w:p w14:paraId="40DF89A6" w14:textId="47EC946B" w:rsidR="00866F12" w:rsidRPr="00866F12" w:rsidRDefault="00866F12" w:rsidP="00866F12">
            <w:pPr>
              <w:jc w:val="both"/>
              <w:rPr>
                <w:rFonts w:ascii="Calibri" w:hAnsi="Calibri" w:cs="Calibri"/>
                <w:sz w:val="22"/>
              </w:rPr>
            </w:pPr>
            <w:r w:rsidRPr="00866F12">
              <w:rPr>
                <w:rFonts w:ascii="Calibri" w:hAnsi="Calibri" w:cs="Calibri"/>
                <w:sz w:val="22"/>
              </w:rPr>
              <w:t>In het bestaande artikel 24 van de BIPT-statuutwet wordt een nieuwe paragraaf 2 toegevoegd zodat een intern mechanisme wordt ingesteld voor de controle van de regelmatigheid van de verzoeken bedoeld in artikel 25/1, §§ 1 en 3, die geformuleerd zijn door de officieren van gerechtelijk politie van het BIPT in het kader van de opsporing en vaststelling van de strafbare feiten die krachtens artikel 24, § 1, onder hun bevoegdheid vallen.</w:t>
            </w:r>
          </w:p>
        </w:tc>
      </w:tr>
      <w:tr w:rsidR="00ED34AE" w:rsidRPr="005648EB" w14:paraId="3E6546FA" w14:textId="77777777" w:rsidTr="0025113D">
        <w:tc>
          <w:tcPr>
            <w:tcW w:w="4508" w:type="dxa"/>
          </w:tcPr>
          <w:p w14:paraId="1EFF9720" w14:textId="77777777" w:rsidR="00ED34AE" w:rsidRPr="005648EB" w:rsidRDefault="00ED34AE" w:rsidP="00ED34AE">
            <w:pPr>
              <w:rPr>
                <w:rFonts w:asciiTheme="minorHAnsi" w:hAnsiTheme="minorHAnsi" w:cstheme="minorHAnsi"/>
                <w:sz w:val="22"/>
              </w:rPr>
            </w:pPr>
          </w:p>
        </w:tc>
        <w:tc>
          <w:tcPr>
            <w:tcW w:w="4508" w:type="dxa"/>
          </w:tcPr>
          <w:p w14:paraId="4E556DE2" w14:textId="77777777" w:rsidR="00ED34AE" w:rsidRPr="005648EB" w:rsidRDefault="00ED34AE" w:rsidP="00ED34AE">
            <w:pPr>
              <w:rPr>
                <w:rFonts w:asciiTheme="minorHAnsi" w:hAnsiTheme="minorHAnsi" w:cstheme="minorHAnsi"/>
                <w:sz w:val="22"/>
              </w:rPr>
            </w:pPr>
          </w:p>
        </w:tc>
      </w:tr>
      <w:tr w:rsidR="00ED34AE" w:rsidRPr="005648EB" w14:paraId="2EFE3502" w14:textId="77777777" w:rsidTr="0025113D">
        <w:tc>
          <w:tcPr>
            <w:tcW w:w="4508" w:type="dxa"/>
          </w:tcPr>
          <w:p w14:paraId="76165884" w14:textId="14C577A4" w:rsidR="00ED34AE" w:rsidRPr="005648EB" w:rsidRDefault="00ED34AE" w:rsidP="00ED34AE">
            <w:pPr>
              <w:pStyle w:val="Kop1"/>
              <w:outlineLvl w:val="0"/>
            </w:pPr>
            <w:bookmarkStart w:id="19" w:name="_Toc96612096"/>
            <w:r w:rsidRPr="007A377E">
              <w:rPr>
                <w:lang w:val="fr-BE" w:eastAsia="fr-FR"/>
              </w:rPr>
              <w:t xml:space="preserve">Amendement n° </w:t>
            </w:r>
            <w:r>
              <w:rPr>
                <w:lang w:val="fr-BE" w:eastAsia="fr-FR"/>
              </w:rPr>
              <w:t>14</w:t>
            </w:r>
            <w:bookmarkEnd w:id="19"/>
          </w:p>
        </w:tc>
        <w:tc>
          <w:tcPr>
            <w:tcW w:w="4508" w:type="dxa"/>
          </w:tcPr>
          <w:p w14:paraId="524EAAE0" w14:textId="2911EA85" w:rsidR="00ED34AE" w:rsidRPr="005648EB" w:rsidRDefault="00ED34AE" w:rsidP="00ED34AE">
            <w:pPr>
              <w:pStyle w:val="Kop1"/>
              <w:outlineLvl w:val="0"/>
            </w:pPr>
            <w:bookmarkStart w:id="20" w:name="_Toc96612097"/>
            <w:r w:rsidRPr="00E26EB5">
              <w:rPr>
                <w:lang w:eastAsia="fr-FR"/>
              </w:rPr>
              <w:t>Amendement nr. 1</w:t>
            </w:r>
            <w:r>
              <w:rPr>
                <w:lang w:eastAsia="fr-FR"/>
              </w:rPr>
              <w:t>4</w:t>
            </w:r>
            <w:bookmarkEnd w:id="20"/>
          </w:p>
        </w:tc>
      </w:tr>
      <w:tr w:rsidR="00ED34AE" w:rsidRPr="005648EB" w14:paraId="0EBC9146" w14:textId="77777777" w:rsidTr="0025113D">
        <w:tc>
          <w:tcPr>
            <w:tcW w:w="4508" w:type="dxa"/>
          </w:tcPr>
          <w:p w14:paraId="4E2BE425" w14:textId="77777777" w:rsidR="00ED34AE" w:rsidRPr="005648EB" w:rsidRDefault="00ED34AE" w:rsidP="00ED34AE">
            <w:pPr>
              <w:rPr>
                <w:rFonts w:asciiTheme="minorHAnsi" w:hAnsiTheme="minorHAnsi" w:cstheme="minorHAnsi"/>
                <w:sz w:val="22"/>
              </w:rPr>
            </w:pPr>
          </w:p>
        </w:tc>
        <w:tc>
          <w:tcPr>
            <w:tcW w:w="4508" w:type="dxa"/>
          </w:tcPr>
          <w:p w14:paraId="04DC33D1" w14:textId="77777777" w:rsidR="00ED34AE" w:rsidRPr="005648EB" w:rsidRDefault="00ED34AE" w:rsidP="00ED34AE">
            <w:pPr>
              <w:rPr>
                <w:rFonts w:asciiTheme="minorHAnsi" w:hAnsiTheme="minorHAnsi" w:cstheme="minorHAnsi"/>
                <w:sz w:val="22"/>
              </w:rPr>
            </w:pPr>
          </w:p>
        </w:tc>
      </w:tr>
      <w:tr w:rsidR="00ED34AE" w:rsidRPr="005648EB" w14:paraId="46CFB061" w14:textId="77777777" w:rsidTr="0025113D">
        <w:tc>
          <w:tcPr>
            <w:tcW w:w="4508" w:type="dxa"/>
          </w:tcPr>
          <w:p w14:paraId="707A0F50" w14:textId="329A4772" w:rsidR="00ED34AE" w:rsidRPr="005648EB" w:rsidRDefault="00ED34AE" w:rsidP="00ED34AE">
            <w:pPr>
              <w:jc w:val="center"/>
              <w:rPr>
                <w:rFonts w:asciiTheme="minorHAnsi" w:hAnsiTheme="minorHAnsi" w:cstheme="minorHAnsi"/>
                <w:sz w:val="22"/>
              </w:rPr>
            </w:pPr>
            <w:proofErr w:type="spellStart"/>
            <w:r w:rsidRPr="007A377E">
              <w:rPr>
                <w:rFonts w:asciiTheme="minorHAnsi" w:hAnsiTheme="minorHAnsi" w:cstheme="minorHAnsi"/>
                <w:b/>
                <w:bCs/>
                <w:sz w:val="22"/>
                <w:lang w:eastAsia="fr-FR"/>
              </w:rPr>
              <w:t>Article</w:t>
            </w:r>
            <w:proofErr w:type="spellEnd"/>
            <w:r w:rsidRPr="007A377E">
              <w:rPr>
                <w:rFonts w:asciiTheme="minorHAnsi" w:hAnsiTheme="minorHAnsi" w:cstheme="minorHAnsi"/>
                <w:b/>
                <w:bCs/>
                <w:sz w:val="22"/>
                <w:lang w:eastAsia="fr-FR"/>
              </w:rPr>
              <w:t xml:space="preserve"> </w:t>
            </w:r>
            <w:r>
              <w:rPr>
                <w:rFonts w:asciiTheme="minorHAnsi" w:hAnsiTheme="minorHAnsi" w:cstheme="minorHAnsi"/>
                <w:b/>
                <w:bCs/>
                <w:sz w:val="22"/>
                <w:lang w:eastAsia="fr-FR"/>
              </w:rPr>
              <w:t>19/1</w:t>
            </w:r>
          </w:p>
        </w:tc>
        <w:tc>
          <w:tcPr>
            <w:tcW w:w="4508" w:type="dxa"/>
          </w:tcPr>
          <w:p w14:paraId="15AA7177" w14:textId="3F8B479B" w:rsidR="00ED34AE" w:rsidRPr="005648EB" w:rsidRDefault="00ED34AE" w:rsidP="00ED34AE">
            <w:pPr>
              <w:jc w:val="center"/>
              <w:rPr>
                <w:rFonts w:asciiTheme="minorHAnsi" w:hAnsiTheme="minorHAnsi" w:cstheme="minorHAnsi"/>
                <w:sz w:val="22"/>
              </w:rPr>
            </w:pPr>
            <w:r w:rsidRPr="007A377E">
              <w:rPr>
                <w:rFonts w:asciiTheme="minorHAnsi" w:hAnsiTheme="minorHAnsi" w:cstheme="minorHAnsi"/>
                <w:b/>
                <w:bCs/>
                <w:sz w:val="22"/>
                <w:lang w:eastAsia="fr-FR"/>
              </w:rPr>
              <w:t xml:space="preserve">Artikel </w:t>
            </w:r>
            <w:r>
              <w:rPr>
                <w:rFonts w:asciiTheme="minorHAnsi" w:hAnsiTheme="minorHAnsi" w:cstheme="minorHAnsi"/>
                <w:b/>
                <w:bCs/>
                <w:sz w:val="22"/>
                <w:lang w:eastAsia="fr-FR"/>
              </w:rPr>
              <w:t>19/1</w:t>
            </w:r>
          </w:p>
        </w:tc>
      </w:tr>
      <w:tr w:rsidR="00ED34AE" w:rsidRPr="005648EB" w14:paraId="7260FA6E" w14:textId="77777777" w:rsidTr="0025113D">
        <w:tc>
          <w:tcPr>
            <w:tcW w:w="4508" w:type="dxa"/>
          </w:tcPr>
          <w:p w14:paraId="76BB151A" w14:textId="77777777" w:rsidR="00ED34AE" w:rsidRPr="005648EB" w:rsidRDefault="00ED34AE" w:rsidP="00ED34AE">
            <w:pPr>
              <w:rPr>
                <w:rFonts w:asciiTheme="minorHAnsi" w:hAnsiTheme="minorHAnsi" w:cstheme="minorHAnsi"/>
                <w:sz w:val="22"/>
              </w:rPr>
            </w:pPr>
          </w:p>
        </w:tc>
        <w:tc>
          <w:tcPr>
            <w:tcW w:w="4508" w:type="dxa"/>
          </w:tcPr>
          <w:p w14:paraId="0225775E" w14:textId="77777777" w:rsidR="00ED34AE" w:rsidRPr="005648EB" w:rsidRDefault="00ED34AE" w:rsidP="00ED34AE">
            <w:pPr>
              <w:rPr>
                <w:rFonts w:asciiTheme="minorHAnsi" w:hAnsiTheme="minorHAnsi" w:cstheme="minorHAnsi"/>
                <w:sz w:val="22"/>
              </w:rPr>
            </w:pPr>
          </w:p>
        </w:tc>
      </w:tr>
      <w:tr w:rsidR="00ED34AE" w:rsidRPr="00A715CA" w14:paraId="41883414" w14:textId="77777777" w:rsidTr="0025113D">
        <w:tc>
          <w:tcPr>
            <w:tcW w:w="4508" w:type="dxa"/>
          </w:tcPr>
          <w:p w14:paraId="720163C8" w14:textId="4C4A9717" w:rsidR="00ED34AE" w:rsidRPr="001075A2" w:rsidRDefault="00ED34AE" w:rsidP="00ED34AE">
            <w:pPr>
              <w:rPr>
                <w:rFonts w:asciiTheme="minorHAnsi" w:hAnsiTheme="minorHAnsi" w:cstheme="minorHAnsi"/>
                <w:sz w:val="22"/>
                <w:lang w:val="fr-BE"/>
              </w:rPr>
            </w:pPr>
            <w:r>
              <w:rPr>
                <w:rFonts w:asciiTheme="minorHAnsi" w:hAnsiTheme="minorHAnsi" w:cstheme="minorHAnsi"/>
                <w:sz w:val="22"/>
                <w:lang w:val="fr-BE"/>
              </w:rPr>
              <w:t>A l’article 25 de la même loi, les modifications suivantes sont apportées :</w:t>
            </w:r>
          </w:p>
        </w:tc>
        <w:tc>
          <w:tcPr>
            <w:tcW w:w="4508" w:type="dxa"/>
          </w:tcPr>
          <w:p w14:paraId="3A5DF4E1" w14:textId="59A05AB2" w:rsidR="00ED34AE" w:rsidRPr="00A715CA" w:rsidRDefault="00ED34AE" w:rsidP="00ED34AE">
            <w:pPr>
              <w:rPr>
                <w:rFonts w:asciiTheme="minorHAnsi" w:hAnsiTheme="minorHAnsi" w:cstheme="minorHAnsi"/>
                <w:sz w:val="22"/>
              </w:rPr>
            </w:pPr>
            <w:r w:rsidRPr="003A1B2B">
              <w:rPr>
                <w:rFonts w:asciiTheme="minorHAnsi" w:hAnsiTheme="minorHAnsi" w:cstheme="minorHAnsi"/>
                <w:sz w:val="22"/>
              </w:rPr>
              <w:t>In artikel 25 van dezelfde wet worden de volgende wijzigingen aangebracht:</w:t>
            </w:r>
          </w:p>
        </w:tc>
      </w:tr>
      <w:tr w:rsidR="00ED34AE" w:rsidRPr="00A715CA" w14:paraId="307D4A92" w14:textId="77777777" w:rsidTr="0025113D">
        <w:tc>
          <w:tcPr>
            <w:tcW w:w="4508" w:type="dxa"/>
          </w:tcPr>
          <w:p w14:paraId="640BDF33" w14:textId="77777777" w:rsidR="00ED34AE" w:rsidRPr="00A715CA" w:rsidRDefault="00ED34AE" w:rsidP="00ED34AE">
            <w:pPr>
              <w:jc w:val="both"/>
              <w:rPr>
                <w:rFonts w:asciiTheme="minorHAnsi" w:hAnsiTheme="minorHAnsi" w:cstheme="minorHAnsi"/>
                <w:sz w:val="22"/>
              </w:rPr>
            </w:pPr>
          </w:p>
        </w:tc>
        <w:tc>
          <w:tcPr>
            <w:tcW w:w="4508" w:type="dxa"/>
          </w:tcPr>
          <w:p w14:paraId="367E9094" w14:textId="77777777" w:rsidR="00ED34AE" w:rsidRPr="00A715CA" w:rsidRDefault="00ED34AE" w:rsidP="00ED34AE">
            <w:pPr>
              <w:jc w:val="both"/>
              <w:rPr>
                <w:rFonts w:asciiTheme="minorHAnsi" w:hAnsiTheme="minorHAnsi" w:cstheme="minorHAnsi"/>
                <w:sz w:val="22"/>
              </w:rPr>
            </w:pPr>
          </w:p>
        </w:tc>
      </w:tr>
      <w:tr w:rsidR="00ED34AE" w:rsidRPr="00A715CA" w14:paraId="5424D714" w14:textId="77777777" w:rsidTr="0025113D">
        <w:tc>
          <w:tcPr>
            <w:tcW w:w="4508" w:type="dxa"/>
          </w:tcPr>
          <w:p w14:paraId="04942F57" w14:textId="60BBBE36" w:rsidR="00ED34AE" w:rsidRPr="001075A2" w:rsidRDefault="00ED34AE" w:rsidP="00ED34AE">
            <w:pPr>
              <w:jc w:val="both"/>
              <w:rPr>
                <w:rFonts w:asciiTheme="minorHAnsi" w:hAnsiTheme="minorHAnsi" w:cstheme="minorHAnsi"/>
                <w:sz w:val="22"/>
                <w:lang w:val="fr-BE"/>
              </w:rPr>
            </w:pPr>
            <w:r>
              <w:rPr>
                <w:rFonts w:asciiTheme="minorHAnsi" w:hAnsiTheme="minorHAnsi" w:cstheme="minorHAnsi"/>
                <w:sz w:val="22"/>
                <w:lang w:val="fr-BE"/>
              </w:rPr>
              <w:t>1° au paragraphe 1</w:t>
            </w:r>
            <w:r w:rsidRPr="00D77B9F">
              <w:rPr>
                <w:rFonts w:asciiTheme="minorHAnsi" w:hAnsiTheme="minorHAnsi" w:cstheme="minorHAnsi"/>
                <w:sz w:val="22"/>
                <w:vertAlign w:val="superscript"/>
                <w:lang w:val="fr-BE"/>
              </w:rPr>
              <w:t>er</w:t>
            </w:r>
            <w:r>
              <w:rPr>
                <w:rFonts w:asciiTheme="minorHAnsi" w:hAnsiTheme="minorHAnsi" w:cstheme="minorHAnsi"/>
                <w:sz w:val="22"/>
                <w:lang w:val="fr-BE"/>
              </w:rPr>
              <w:t>, alinéa 1</w:t>
            </w:r>
            <w:r w:rsidRPr="00D77B9F">
              <w:rPr>
                <w:rFonts w:asciiTheme="minorHAnsi" w:hAnsiTheme="minorHAnsi" w:cstheme="minorHAnsi"/>
                <w:sz w:val="22"/>
                <w:vertAlign w:val="superscript"/>
                <w:lang w:val="fr-BE"/>
              </w:rPr>
              <w:t>er</w:t>
            </w:r>
            <w:r>
              <w:rPr>
                <w:rFonts w:asciiTheme="minorHAnsi" w:hAnsiTheme="minorHAnsi" w:cstheme="minorHAnsi"/>
                <w:sz w:val="22"/>
                <w:lang w:val="fr-BE"/>
              </w:rPr>
              <w:t xml:space="preserve">, les mots « membres du personnel visés à l’article 24 » sont remplacés par les mots « officiers de police judiciaire de l’Institut » ; </w:t>
            </w:r>
          </w:p>
        </w:tc>
        <w:tc>
          <w:tcPr>
            <w:tcW w:w="4508" w:type="dxa"/>
          </w:tcPr>
          <w:p w14:paraId="43E8C6F1" w14:textId="60DA19B3" w:rsidR="00ED34AE" w:rsidRPr="00A715CA" w:rsidRDefault="00ED34AE" w:rsidP="00ED34AE">
            <w:pPr>
              <w:jc w:val="both"/>
              <w:rPr>
                <w:rFonts w:asciiTheme="minorHAnsi" w:hAnsiTheme="minorHAnsi" w:cstheme="minorHAnsi"/>
                <w:sz w:val="22"/>
              </w:rPr>
            </w:pPr>
            <w:r w:rsidRPr="003A1B2B">
              <w:rPr>
                <w:rFonts w:asciiTheme="minorHAnsi" w:hAnsiTheme="minorHAnsi" w:cstheme="minorHAnsi"/>
                <w:sz w:val="22"/>
              </w:rPr>
              <w:t>1° in paragraaf 1, eerste lid, worden de woorden “personeelsleden vermeld in artikel 24” vervangen door de woorden “officieren van gerechtelijke politie van het Instituut”;</w:t>
            </w:r>
          </w:p>
        </w:tc>
      </w:tr>
      <w:tr w:rsidR="00ED34AE" w:rsidRPr="00A715CA" w14:paraId="3223003F" w14:textId="77777777" w:rsidTr="0025113D">
        <w:tc>
          <w:tcPr>
            <w:tcW w:w="4508" w:type="dxa"/>
          </w:tcPr>
          <w:p w14:paraId="64F9E6F3" w14:textId="77777777" w:rsidR="00ED34AE" w:rsidRPr="008E6B40" w:rsidRDefault="00ED34AE" w:rsidP="00ED34AE">
            <w:pPr>
              <w:jc w:val="both"/>
              <w:rPr>
                <w:rFonts w:asciiTheme="minorHAnsi" w:hAnsiTheme="minorHAnsi" w:cstheme="minorHAnsi"/>
                <w:sz w:val="22"/>
              </w:rPr>
            </w:pPr>
          </w:p>
        </w:tc>
        <w:tc>
          <w:tcPr>
            <w:tcW w:w="4508" w:type="dxa"/>
          </w:tcPr>
          <w:p w14:paraId="621DF3E8" w14:textId="77777777" w:rsidR="00ED34AE" w:rsidRPr="003A1B2B" w:rsidRDefault="00ED34AE" w:rsidP="00ED34AE">
            <w:pPr>
              <w:jc w:val="both"/>
              <w:rPr>
                <w:rFonts w:asciiTheme="minorHAnsi" w:hAnsiTheme="minorHAnsi" w:cstheme="minorHAnsi"/>
                <w:sz w:val="22"/>
              </w:rPr>
            </w:pPr>
          </w:p>
        </w:tc>
      </w:tr>
      <w:tr w:rsidR="00ED34AE" w:rsidRPr="00A715CA" w14:paraId="0E4C70EE" w14:textId="77777777" w:rsidTr="0025113D">
        <w:tc>
          <w:tcPr>
            <w:tcW w:w="4508" w:type="dxa"/>
          </w:tcPr>
          <w:p w14:paraId="5E1BD195" w14:textId="0FE6D25E" w:rsidR="00ED34AE" w:rsidRDefault="00ED34AE" w:rsidP="00ED34AE">
            <w:pPr>
              <w:jc w:val="both"/>
              <w:rPr>
                <w:rFonts w:asciiTheme="minorHAnsi" w:hAnsiTheme="minorHAnsi" w:cstheme="minorHAnsi"/>
                <w:sz w:val="22"/>
                <w:lang w:val="fr-BE"/>
              </w:rPr>
            </w:pPr>
            <w:r>
              <w:rPr>
                <w:rFonts w:asciiTheme="minorHAnsi" w:hAnsiTheme="minorHAnsi" w:cstheme="minorHAnsi"/>
                <w:sz w:val="22"/>
                <w:lang w:val="fr-BE"/>
              </w:rPr>
              <w:t>2° au paragraphe 1</w:t>
            </w:r>
            <w:r w:rsidRPr="003A1B2B">
              <w:rPr>
                <w:rFonts w:asciiTheme="minorHAnsi" w:hAnsiTheme="minorHAnsi" w:cstheme="minorHAnsi"/>
                <w:sz w:val="22"/>
                <w:vertAlign w:val="superscript"/>
                <w:lang w:val="fr-BE"/>
              </w:rPr>
              <w:t>er</w:t>
            </w:r>
            <w:r>
              <w:rPr>
                <w:rFonts w:asciiTheme="minorHAnsi" w:hAnsiTheme="minorHAnsi" w:cstheme="minorHAnsi"/>
                <w:sz w:val="22"/>
                <w:lang w:val="fr-BE"/>
              </w:rPr>
              <w:t>, alinéa 1</w:t>
            </w:r>
            <w:r w:rsidRPr="00D804AF">
              <w:rPr>
                <w:rFonts w:asciiTheme="minorHAnsi" w:hAnsiTheme="minorHAnsi" w:cstheme="minorHAnsi"/>
                <w:sz w:val="22"/>
                <w:vertAlign w:val="superscript"/>
                <w:lang w:val="fr-BE"/>
              </w:rPr>
              <w:t>er</w:t>
            </w:r>
            <w:r w:rsidRPr="00D77B9F">
              <w:rPr>
                <w:rFonts w:asciiTheme="minorHAnsi" w:hAnsiTheme="minorHAnsi" w:cstheme="minorHAnsi"/>
                <w:sz w:val="22"/>
                <w:lang w:val="fr-BE"/>
              </w:rPr>
              <w:t>, les mots « </w:t>
            </w:r>
            <w:r>
              <w:rPr>
                <w:rFonts w:asciiTheme="minorHAnsi" w:hAnsiTheme="minorHAnsi" w:cstheme="minorHAnsi"/>
                <w:sz w:val="22"/>
                <w:lang w:val="fr-BE"/>
              </w:rPr>
              <w:t xml:space="preserve">, </w:t>
            </w:r>
            <w:r w:rsidRPr="00D77B9F">
              <w:rPr>
                <w:rFonts w:asciiTheme="minorHAnsi" w:hAnsiTheme="minorHAnsi" w:cstheme="minorHAnsi"/>
                <w:sz w:val="22"/>
                <w:lang w:val="fr-BE"/>
              </w:rPr>
              <w:t>dans l’exercice de leur mission de police judiciaire » sont supprimés ;</w:t>
            </w:r>
            <w:r>
              <w:rPr>
                <w:rFonts w:asciiTheme="minorHAnsi" w:hAnsiTheme="minorHAnsi" w:cstheme="minorHAnsi"/>
                <w:sz w:val="22"/>
                <w:vertAlign w:val="superscript"/>
                <w:lang w:val="fr-BE"/>
              </w:rPr>
              <w:t xml:space="preserve"> </w:t>
            </w:r>
          </w:p>
        </w:tc>
        <w:tc>
          <w:tcPr>
            <w:tcW w:w="4508" w:type="dxa"/>
          </w:tcPr>
          <w:p w14:paraId="6C442BAD" w14:textId="7640EF7F" w:rsidR="00ED34AE" w:rsidRPr="003A1B2B" w:rsidRDefault="00ED34AE" w:rsidP="00ED34AE">
            <w:pPr>
              <w:jc w:val="both"/>
              <w:rPr>
                <w:rFonts w:asciiTheme="minorHAnsi" w:hAnsiTheme="minorHAnsi" w:cstheme="minorHAnsi"/>
                <w:sz w:val="22"/>
              </w:rPr>
            </w:pPr>
            <w:r w:rsidRPr="003A1B2B">
              <w:rPr>
                <w:rFonts w:asciiTheme="minorHAnsi" w:hAnsiTheme="minorHAnsi" w:cstheme="minorHAnsi"/>
                <w:sz w:val="22"/>
              </w:rPr>
              <w:t>2° in paragraaf 1, eerste lid, worden de woorden “in hun hoedanigheid van officier van gerechtelijke politie” geschrapt;</w:t>
            </w:r>
          </w:p>
        </w:tc>
      </w:tr>
      <w:tr w:rsidR="00ED34AE" w:rsidRPr="00A715CA" w14:paraId="2C5FD2D5" w14:textId="77777777" w:rsidTr="0025113D">
        <w:tc>
          <w:tcPr>
            <w:tcW w:w="4508" w:type="dxa"/>
          </w:tcPr>
          <w:p w14:paraId="77D1F1C5" w14:textId="77777777" w:rsidR="00ED34AE" w:rsidRPr="00A715CA" w:rsidRDefault="00ED34AE" w:rsidP="00ED34AE">
            <w:pPr>
              <w:jc w:val="both"/>
              <w:rPr>
                <w:rFonts w:asciiTheme="minorHAnsi" w:hAnsiTheme="minorHAnsi" w:cstheme="minorHAnsi"/>
                <w:sz w:val="22"/>
              </w:rPr>
            </w:pPr>
          </w:p>
        </w:tc>
        <w:tc>
          <w:tcPr>
            <w:tcW w:w="4508" w:type="dxa"/>
          </w:tcPr>
          <w:p w14:paraId="4C351B29" w14:textId="77777777" w:rsidR="00ED34AE" w:rsidRPr="003A1B2B" w:rsidRDefault="00ED34AE" w:rsidP="00ED34AE">
            <w:pPr>
              <w:jc w:val="both"/>
              <w:rPr>
                <w:rFonts w:asciiTheme="minorHAnsi" w:hAnsiTheme="minorHAnsi" w:cstheme="minorHAnsi"/>
                <w:sz w:val="22"/>
              </w:rPr>
            </w:pPr>
          </w:p>
        </w:tc>
      </w:tr>
      <w:tr w:rsidR="00ED34AE" w:rsidRPr="00A715CA" w14:paraId="3F2E7816" w14:textId="77777777" w:rsidTr="0025113D">
        <w:tc>
          <w:tcPr>
            <w:tcW w:w="4508" w:type="dxa"/>
          </w:tcPr>
          <w:p w14:paraId="63C38116" w14:textId="324D25BB" w:rsidR="00ED34AE" w:rsidRDefault="00ED34AE" w:rsidP="00ED34AE">
            <w:pPr>
              <w:jc w:val="both"/>
              <w:rPr>
                <w:rFonts w:asciiTheme="minorHAnsi" w:hAnsiTheme="minorHAnsi" w:cstheme="minorHAnsi"/>
                <w:sz w:val="22"/>
                <w:lang w:val="fr-BE"/>
              </w:rPr>
            </w:pPr>
            <w:r>
              <w:rPr>
                <w:rFonts w:asciiTheme="minorHAnsi" w:hAnsiTheme="minorHAnsi" w:cstheme="minorHAnsi"/>
                <w:sz w:val="22"/>
                <w:lang w:val="fr-BE"/>
              </w:rPr>
              <w:t xml:space="preserve">3° au paragraphe 3, les mots « membres du personnel visés à l’article 24 » sont remplacés par les mots « officiers de police judiciaire de l’Institut » ; </w:t>
            </w:r>
          </w:p>
        </w:tc>
        <w:tc>
          <w:tcPr>
            <w:tcW w:w="4508" w:type="dxa"/>
          </w:tcPr>
          <w:p w14:paraId="5E3C023B" w14:textId="2C5A9523" w:rsidR="00ED34AE" w:rsidRPr="003A1B2B" w:rsidRDefault="00ED34AE" w:rsidP="00ED34AE">
            <w:pPr>
              <w:jc w:val="both"/>
              <w:rPr>
                <w:rFonts w:asciiTheme="minorHAnsi" w:hAnsiTheme="minorHAnsi" w:cstheme="minorHAnsi"/>
                <w:sz w:val="22"/>
              </w:rPr>
            </w:pPr>
            <w:r>
              <w:rPr>
                <w:rFonts w:asciiTheme="minorHAnsi" w:hAnsiTheme="minorHAnsi" w:cstheme="minorHAnsi"/>
                <w:sz w:val="22"/>
              </w:rPr>
              <w:t>3</w:t>
            </w:r>
            <w:r w:rsidRPr="003A1B2B">
              <w:rPr>
                <w:rFonts w:asciiTheme="minorHAnsi" w:hAnsiTheme="minorHAnsi" w:cstheme="minorHAnsi"/>
                <w:sz w:val="22"/>
              </w:rPr>
              <w:t>° in paragraaf 3, worden de woorden “personeelsleden vermeld in artikel 24” vervangen door de woorden “officieren van gerechtelijke politie van het Instituut”;</w:t>
            </w:r>
          </w:p>
        </w:tc>
      </w:tr>
      <w:tr w:rsidR="00ED34AE" w:rsidRPr="00A715CA" w14:paraId="3EA579CB" w14:textId="77777777" w:rsidTr="0025113D">
        <w:tc>
          <w:tcPr>
            <w:tcW w:w="4508" w:type="dxa"/>
          </w:tcPr>
          <w:p w14:paraId="5BA32CFC" w14:textId="77777777" w:rsidR="00ED34AE" w:rsidRPr="00A715CA" w:rsidRDefault="00ED34AE" w:rsidP="00ED34AE">
            <w:pPr>
              <w:jc w:val="both"/>
              <w:rPr>
                <w:rFonts w:asciiTheme="minorHAnsi" w:hAnsiTheme="minorHAnsi" w:cstheme="minorHAnsi"/>
                <w:sz w:val="22"/>
              </w:rPr>
            </w:pPr>
          </w:p>
        </w:tc>
        <w:tc>
          <w:tcPr>
            <w:tcW w:w="4508" w:type="dxa"/>
          </w:tcPr>
          <w:p w14:paraId="1E019B09" w14:textId="77777777" w:rsidR="00ED34AE" w:rsidRPr="003A1B2B" w:rsidRDefault="00ED34AE" w:rsidP="00ED34AE">
            <w:pPr>
              <w:jc w:val="both"/>
              <w:rPr>
                <w:rFonts w:asciiTheme="minorHAnsi" w:hAnsiTheme="minorHAnsi" w:cstheme="minorHAnsi"/>
                <w:sz w:val="22"/>
              </w:rPr>
            </w:pPr>
          </w:p>
        </w:tc>
      </w:tr>
      <w:tr w:rsidR="00ED34AE" w:rsidRPr="00A715CA" w14:paraId="745E4B0D" w14:textId="77777777" w:rsidTr="0025113D">
        <w:tc>
          <w:tcPr>
            <w:tcW w:w="4508" w:type="dxa"/>
          </w:tcPr>
          <w:p w14:paraId="047C5E07" w14:textId="35BDCDA5" w:rsidR="00ED34AE" w:rsidRDefault="00ED34AE" w:rsidP="00ED34AE">
            <w:pPr>
              <w:jc w:val="both"/>
              <w:rPr>
                <w:rFonts w:asciiTheme="minorHAnsi" w:hAnsiTheme="minorHAnsi" w:cstheme="minorHAnsi"/>
                <w:sz w:val="22"/>
                <w:lang w:val="fr-BE"/>
              </w:rPr>
            </w:pPr>
            <w:r>
              <w:rPr>
                <w:rFonts w:asciiTheme="minorHAnsi" w:hAnsiTheme="minorHAnsi" w:cstheme="minorHAnsi"/>
                <w:sz w:val="22"/>
                <w:lang w:val="fr-BE"/>
              </w:rPr>
              <w:t>4° au paragraphe 3, les mots « ,en leur qualité d’officier de police judiciaire, » sont supprimés ;</w:t>
            </w:r>
          </w:p>
        </w:tc>
        <w:tc>
          <w:tcPr>
            <w:tcW w:w="4508" w:type="dxa"/>
          </w:tcPr>
          <w:p w14:paraId="322FF1DC" w14:textId="7DEEF38F" w:rsidR="00ED34AE" w:rsidRPr="003A1B2B" w:rsidRDefault="00ED34AE" w:rsidP="00ED34AE">
            <w:pPr>
              <w:jc w:val="both"/>
              <w:rPr>
                <w:rFonts w:asciiTheme="minorHAnsi" w:hAnsiTheme="minorHAnsi" w:cstheme="minorHAnsi"/>
                <w:sz w:val="22"/>
              </w:rPr>
            </w:pPr>
            <w:r>
              <w:rPr>
                <w:rFonts w:asciiTheme="minorHAnsi" w:hAnsiTheme="minorHAnsi" w:cstheme="minorHAnsi"/>
                <w:sz w:val="22"/>
              </w:rPr>
              <w:t>4</w:t>
            </w:r>
            <w:r w:rsidRPr="003A1B2B">
              <w:rPr>
                <w:rFonts w:asciiTheme="minorHAnsi" w:hAnsiTheme="minorHAnsi" w:cstheme="minorHAnsi"/>
                <w:sz w:val="22"/>
              </w:rPr>
              <w:t>° in paragraaf 3, worden de woorden “in hun hoedanigheid van officier van gerechtelijke politie” geschrapt;</w:t>
            </w:r>
          </w:p>
        </w:tc>
      </w:tr>
      <w:tr w:rsidR="00ED34AE" w:rsidRPr="00A715CA" w14:paraId="7AC9E8D4" w14:textId="77777777" w:rsidTr="0025113D">
        <w:tc>
          <w:tcPr>
            <w:tcW w:w="4508" w:type="dxa"/>
          </w:tcPr>
          <w:p w14:paraId="2B1FB568" w14:textId="77777777" w:rsidR="00ED34AE" w:rsidRPr="00A715CA" w:rsidRDefault="00ED34AE" w:rsidP="00ED34AE">
            <w:pPr>
              <w:jc w:val="both"/>
              <w:rPr>
                <w:rFonts w:asciiTheme="minorHAnsi" w:hAnsiTheme="minorHAnsi" w:cstheme="minorHAnsi"/>
                <w:sz w:val="22"/>
              </w:rPr>
            </w:pPr>
          </w:p>
        </w:tc>
        <w:tc>
          <w:tcPr>
            <w:tcW w:w="4508" w:type="dxa"/>
          </w:tcPr>
          <w:p w14:paraId="7A7F2561" w14:textId="77777777" w:rsidR="00ED34AE" w:rsidRPr="003A1B2B" w:rsidRDefault="00ED34AE" w:rsidP="00ED34AE">
            <w:pPr>
              <w:jc w:val="both"/>
              <w:rPr>
                <w:rFonts w:asciiTheme="minorHAnsi" w:hAnsiTheme="minorHAnsi" w:cstheme="minorHAnsi"/>
                <w:sz w:val="22"/>
              </w:rPr>
            </w:pPr>
          </w:p>
        </w:tc>
      </w:tr>
      <w:tr w:rsidR="00ED34AE" w:rsidRPr="00A715CA" w14:paraId="1E678F65" w14:textId="77777777" w:rsidTr="0025113D">
        <w:tc>
          <w:tcPr>
            <w:tcW w:w="4508" w:type="dxa"/>
          </w:tcPr>
          <w:p w14:paraId="00EE9591" w14:textId="0B32D770" w:rsidR="00ED34AE" w:rsidRDefault="00ED34AE" w:rsidP="00ED34AE">
            <w:pPr>
              <w:jc w:val="both"/>
              <w:rPr>
                <w:rFonts w:asciiTheme="minorHAnsi" w:hAnsiTheme="minorHAnsi" w:cstheme="minorHAnsi"/>
                <w:sz w:val="22"/>
                <w:lang w:val="fr-BE"/>
              </w:rPr>
            </w:pPr>
            <w:r>
              <w:rPr>
                <w:rFonts w:asciiTheme="minorHAnsi" w:hAnsiTheme="minorHAnsi" w:cstheme="minorHAnsi"/>
                <w:sz w:val="22"/>
                <w:lang w:val="fr-BE"/>
              </w:rPr>
              <w:t xml:space="preserve">5° aux paragraphes 4, 5, 6 et 7 les mots « de l’Institut » sont ajoutés après les mots « officiers de police judiciaire ».  </w:t>
            </w:r>
          </w:p>
        </w:tc>
        <w:tc>
          <w:tcPr>
            <w:tcW w:w="4508" w:type="dxa"/>
          </w:tcPr>
          <w:p w14:paraId="5BEC96F1" w14:textId="60126F62" w:rsidR="00ED34AE" w:rsidRPr="003A1B2B" w:rsidRDefault="00ED34AE" w:rsidP="00ED34AE">
            <w:pPr>
              <w:jc w:val="both"/>
              <w:rPr>
                <w:rFonts w:asciiTheme="minorHAnsi" w:hAnsiTheme="minorHAnsi" w:cstheme="minorHAnsi"/>
                <w:sz w:val="22"/>
              </w:rPr>
            </w:pPr>
            <w:r>
              <w:rPr>
                <w:rFonts w:asciiTheme="minorHAnsi" w:hAnsiTheme="minorHAnsi" w:cstheme="minorHAnsi"/>
                <w:sz w:val="22"/>
              </w:rPr>
              <w:t>5</w:t>
            </w:r>
            <w:r w:rsidRPr="003A1B2B">
              <w:rPr>
                <w:rFonts w:asciiTheme="minorHAnsi" w:hAnsiTheme="minorHAnsi" w:cstheme="minorHAnsi"/>
                <w:sz w:val="22"/>
              </w:rPr>
              <w:t>° in de paragrafen 4, 5, 6</w:t>
            </w:r>
            <w:r>
              <w:rPr>
                <w:rFonts w:asciiTheme="minorHAnsi" w:hAnsiTheme="minorHAnsi" w:cstheme="minorHAnsi"/>
                <w:sz w:val="22"/>
              </w:rPr>
              <w:t xml:space="preserve"> en</w:t>
            </w:r>
            <w:r w:rsidRPr="003A1B2B">
              <w:rPr>
                <w:rFonts w:asciiTheme="minorHAnsi" w:hAnsiTheme="minorHAnsi" w:cstheme="minorHAnsi"/>
                <w:sz w:val="22"/>
              </w:rPr>
              <w:t xml:space="preserve"> 7 worden de woorden “van het Instituut” toegevoegd na de woorden “officieren van gerechtelijke politie”.</w:t>
            </w:r>
          </w:p>
        </w:tc>
      </w:tr>
      <w:tr w:rsidR="00ED34AE" w:rsidRPr="00A715CA" w14:paraId="0BFD5157" w14:textId="77777777" w:rsidTr="0025113D">
        <w:tc>
          <w:tcPr>
            <w:tcW w:w="4508" w:type="dxa"/>
          </w:tcPr>
          <w:p w14:paraId="5EB2198F" w14:textId="77777777" w:rsidR="00ED34AE" w:rsidRPr="00A715CA" w:rsidRDefault="00ED34AE" w:rsidP="00ED34AE">
            <w:pPr>
              <w:rPr>
                <w:rFonts w:asciiTheme="minorHAnsi" w:hAnsiTheme="minorHAnsi" w:cstheme="minorHAnsi"/>
                <w:sz w:val="22"/>
              </w:rPr>
            </w:pPr>
          </w:p>
        </w:tc>
        <w:tc>
          <w:tcPr>
            <w:tcW w:w="4508" w:type="dxa"/>
          </w:tcPr>
          <w:p w14:paraId="718B670D" w14:textId="77777777" w:rsidR="00ED34AE" w:rsidRPr="00A715CA" w:rsidRDefault="00ED34AE" w:rsidP="00ED34AE">
            <w:pPr>
              <w:rPr>
                <w:rFonts w:asciiTheme="minorHAnsi" w:hAnsiTheme="minorHAnsi" w:cstheme="minorHAnsi"/>
                <w:sz w:val="22"/>
              </w:rPr>
            </w:pPr>
          </w:p>
        </w:tc>
      </w:tr>
      <w:tr w:rsidR="00ED34AE" w:rsidRPr="005648EB" w14:paraId="5C0AE61C" w14:textId="77777777" w:rsidTr="0025113D">
        <w:tc>
          <w:tcPr>
            <w:tcW w:w="4508" w:type="dxa"/>
          </w:tcPr>
          <w:p w14:paraId="2A50DB79" w14:textId="0CB6E4E2" w:rsidR="00ED34AE" w:rsidRPr="005648EB" w:rsidRDefault="00ED34AE" w:rsidP="00ED34AE">
            <w:pPr>
              <w:jc w:val="center"/>
              <w:rPr>
                <w:rFonts w:asciiTheme="minorHAnsi" w:hAnsiTheme="minorHAnsi" w:cstheme="minorHAnsi"/>
                <w:sz w:val="22"/>
              </w:rPr>
            </w:pPr>
            <w:r w:rsidRPr="007A377E">
              <w:rPr>
                <w:rFonts w:asciiTheme="minorHAnsi" w:hAnsiTheme="minorHAnsi" w:cstheme="minorHAnsi"/>
                <w:b/>
                <w:bCs/>
                <w:sz w:val="22"/>
                <w:lang w:eastAsia="fr-FR"/>
              </w:rPr>
              <w:t>JUSTIFICATION</w:t>
            </w:r>
          </w:p>
        </w:tc>
        <w:tc>
          <w:tcPr>
            <w:tcW w:w="4508" w:type="dxa"/>
          </w:tcPr>
          <w:p w14:paraId="7B007810" w14:textId="5F776414" w:rsidR="00ED34AE" w:rsidRPr="005648EB" w:rsidRDefault="00ED34AE" w:rsidP="00ED34AE">
            <w:pPr>
              <w:jc w:val="center"/>
              <w:rPr>
                <w:rFonts w:asciiTheme="minorHAnsi" w:hAnsiTheme="minorHAnsi" w:cstheme="minorHAnsi"/>
                <w:sz w:val="22"/>
              </w:rPr>
            </w:pPr>
            <w:r w:rsidRPr="007A377E">
              <w:rPr>
                <w:rFonts w:asciiTheme="minorHAnsi" w:hAnsiTheme="minorHAnsi" w:cstheme="minorHAnsi"/>
                <w:b/>
                <w:bCs/>
                <w:sz w:val="22"/>
                <w:lang w:val="fr-BE" w:eastAsia="fr-FR"/>
              </w:rPr>
              <w:t>VERANTWOORDING</w:t>
            </w:r>
          </w:p>
        </w:tc>
      </w:tr>
      <w:tr w:rsidR="00ED34AE" w:rsidRPr="005648EB" w14:paraId="10712F75" w14:textId="77777777" w:rsidTr="0025113D">
        <w:tc>
          <w:tcPr>
            <w:tcW w:w="4508" w:type="dxa"/>
          </w:tcPr>
          <w:p w14:paraId="2971180D" w14:textId="77777777" w:rsidR="00ED34AE" w:rsidRPr="005648EB" w:rsidRDefault="00ED34AE" w:rsidP="00ED34AE">
            <w:pPr>
              <w:rPr>
                <w:rFonts w:asciiTheme="minorHAnsi" w:hAnsiTheme="minorHAnsi" w:cstheme="minorHAnsi"/>
                <w:sz w:val="22"/>
              </w:rPr>
            </w:pPr>
          </w:p>
        </w:tc>
        <w:tc>
          <w:tcPr>
            <w:tcW w:w="4508" w:type="dxa"/>
          </w:tcPr>
          <w:p w14:paraId="72B4781F" w14:textId="77777777" w:rsidR="00ED34AE" w:rsidRPr="005648EB" w:rsidRDefault="00ED34AE" w:rsidP="00ED34AE">
            <w:pPr>
              <w:rPr>
                <w:rFonts w:asciiTheme="minorHAnsi" w:hAnsiTheme="minorHAnsi" w:cstheme="minorHAnsi"/>
                <w:sz w:val="22"/>
              </w:rPr>
            </w:pPr>
          </w:p>
        </w:tc>
      </w:tr>
      <w:tr w:rsidR="00866F12" w:rsidRPr="005648EB" w14:paraId="73684A48" w14:textId="77777777" w:rsidTr="0025113D">
        <w:tc>
          <w:tcPr>
            <w:tcW w:w="4508" w:type="dxa"/>
          </w:tcPr>
          <w:p w14:paraId="2C9BB947" w14:textId="2D850074" w:rsidR="00866F12" w:rsidRPr="00866F12" w:rsidRDefault="00866F12" w:rsidP="00866F12">
            <w:pPr>
              <w:jc w:val="both"/>
              <w:rPr>
                <w:rFonts w:asciiTheme="minorHAnsi" w:hAnsiTheme="minorHAnsi" w:cstheme="minorHAnsi"/>
                <w:sz w:val="22"/>
                <w:lang w:val="fr-BE"/>
              </w:rPr>
            </w:pPr>
            <w:r w:rsidRPr="00866F12">
              <w:rPr>
                <w:rFonts w:asciiTheme="minorHAnsi" w:hAnsiTheme="minorHAnsi" w:cstheme="minorHAnsi"/>
                <w:sz w:val="22"/>
                <w:lang w:val="fr-BE"/>
              </w:rPr>
              <w:t xml:space="preserve">Les modifications visent à assurer une cohérence de la terminologie utilisée dans les articles 24 à 25/1. Lorsqu’il est fait mention des officiers de police judiciaire de l’IBPT (à savoir les officiers de police judiciaire désignés en vertu de l’article 24, § 1er), il est entendu que l’on vise les membres du personnel de l'IBPT ayant cette qualité qui agissent dans le cadre de l’exercice de leurs missions d’officiers de police judiciaire. </w:t>
            </w:r>
          </w:p>
        </w:tc>
        <w:tc>
          <w:tcPr>
            <w:tcW w:w="4508" w:type="dxa"/>
          </w:tcPr>
          <w:p w14:paraId="6D1FAE22" w14:textId="388CF684" w:rsidR="00866F12" w:rsidRPr="00866F12" w:rsidRDefault="00866F12" w:rsidP="00866F12">
            <w:pPr>
              <w:jc w:val="both"/>
              <w:rPr>
                <w:rFonts w:asciiTheme="minorHAnsi" w:hAnsiTheme="minorHAnsi" w:cstheme="minorHAnsi"/>
                <w:sz w:val="22"/>
              </w:rPr>
            </w:pPr>
            <w:r w:rsidRPr="00866F12">
              <w:rPr>
                <w:rFonts w:asciiTheme="minorHAnsi" w:hAnsiTheme="minorHAnsi" w:cstheme="minorHAnsi"/>
                <w:sz w:val="22"/>
              </w:rPr>
              <w:t>De wijzigingen zijn erop gericht een coherentie te waarborgen van de terminologie die wordt gebruikt in de artikelen 24 tot 25/1. Wanneer sprake is van de officieren van gerechtelijke politie van het BIPT (namelijk de officieren van gerechtelijke politie die aangewezen zijn krachtens artikel 24, § 1) wordt daaronder verstaan de personeelsleden van het BIPT die deze hoedanigheid hebben en die optreden in het kader van de uitoefening van hun opdrachten als officier</w:t>
            </w:r>
            <w:r w:rsidR="00D72BC2">
              <w:rPr>
                <w:rFonts w:asciiTheme="minorHAnsi" w:hAnsiTheme="minorHAnsi" w:cstheme="minorHAnsi"/>
                <w:sz w:val="22"/>
              </w:rPr>
              <w:t>en</w:t>
            </w:r>
            <w:r w:rsidRPr="00866F12">
              <w:rPr>
                <w:rFonts w:asciiTheme="minorHAnsi" w:hAnsiTheme="minorHAnsi" w:cstheme="minorHAnsi"/>
                <w:sz w:val="22"/>
              </w:rPr>
              <w:t xml:space="preserve"> van gerechtelijke politie. </w:t>
            </w:r>
          </w:p>
        </w:tc>
      </w:tr>
      <w:tr w:rsidR="00ED34AE" w:rsidRPr="005648EB" w14:paraId="3FD198F6" w14:textId="77777777" w:rsidTr="0025113D">
        <w:tc>
          <w:tcPr>
            <w:tcW w:w="4508" w:type="dxa"/>
          </w:tcPr>
          <w:p w14:paraId="4141B2AC" w14:textId="77777777" w:rsidR="00ED34AE" w:rsidRPr="005648EB" w:rsidRDefault="00ED34AE" w:rsidP="00ED34AE">
            <w:pPr>
              <w:rPr>
                <w:rFonts w:asciiTheme="minorHAnsi" w:hAnsiTheme="minorHAnsi" w:cstheme="minorHAnsi"/>
                <w:sz w:val="22"/>
              </w:rPr>
            </w:pPr>
          </w:p>
        </w:tc>
        <w:tc>
          <w:tcPr>
            <w:tcW w:w="4508" w:type="dxa"/>
          </w:tcPr>
          <w:p w14:paraId="1070509F" w14:textId="77777777" w:rsidR="00ED34AE" w:rsidRPr="005648EB" w:rsidRDefault="00ED34AE" w:rsidP="00ED34AE">
            <w:pPr>
              <w:rPr>
                <w:rFonts w:asciiTheme="minorHAnsi" w:hAnsiTheme="minorHAnsi" w:cstheme="minorHAnsi"/>
                <w:sz w:val="22"/>
              </w:rPr>
            </w:pPr>
          </w:p>
        </w:tc>
      </w:tr>
      <w:tr w:rsidR="00ED34AE" w:rsidRPr="005648EB" w14:paraId="271BC754" w14:textId="77777777" w:rsidTr="0025113D">
        <w:tc>
          <w:tcPr>
            <w:tcW w:w="4508" w:type="dxa"/>
          </w:tcPr>
          <w:p w14:paraId="228F0C75" w14:textId="3E38B939" w:rsidR="00ED34AE" w:rsidRPr="00E26EB5" w:rsidRDefault="00ED34AE" w:rsidP="00ED34AE">
            <w:pPr>
              <w:pStyle w:val="Kop1"/>
              <w:outlineLvl w:val="0"/>
              <w:rPr>
                <w:rFonts w:asciiTheme="minorHAnsi" w:hAnsiTheme="minorHAnsi" w:cstheme="minorHAnsi"/>
                <w:szCs w:val="22"/>
                <w:lang w:val="fr-BE" w:eastAsia="fr-FR"/>
              </w:rPr>
            </w:pPr>
            <w:bookmarkStart w:id="21" w:name="_Toc96612098"/>
            <w:r w:rsidRPr="007A377E">
              <w:rPr>
                <w:rFonts w:asciiTheme="minorHAnsi" w:hAnsiTheme="minorHAnsi" w:cstheme="minorHAnsi"/>
                <w:szCs w:val="22"/>
                <w:lang w:val="fr-BE" w:eastAsia="fr-FR"/>
              </w:rPr>
              <w:t xml:space="preserve">Amendement n° </w:t>
            </w:r>
            <w:r>
              <w:rPr>
                <w:rFonts w:asciiTheme="minorHAnsi" w:hAnsiTheme="minorHAnsi" w:cstheme="minorHAnsi"/>
                <w:szCs w:val="22"/>
                <w:lang w:val="fr-BE" w:eastAsia="fr-FR"/>
              </w:rPr>
              <w:t>15</w:t>
            </w:r>
            <w:bookmarkEnd w:id="21"/>
          </w:p>
        </w:tc>
        <w:tc>
          <w:tcPr>
            <w:tcW w:w="4508" w:type="dxa"/>
          </w:tcPr>
          <w:p w14:paraId="64DDABFC" w14:textId="7E60EC8E" w:rsidR="00ED34AE" w:rsidRPr="00E26EB5" w:rsidRDefault="00ED34AE" w:rsidP="00ED34AE">
            <w:pPr>
              <w:pStyle w:val="Kop1"/>
              <w:outlineLvl w:val="0"/>
              <w:rPr>
                <w:rFonts w:asciiTheme="minorHAnsi" w:hAnsiTheme="minorHAnsi" w:cstheme="minorHAnsi"/>
                <w:szCs w:val="22"/>
                <w:lang w:eastAsia="fr-FR"/>
              </w:rPr>
            </w:pPr>
            <w:bookmarkStart w:id="22" w:name="_Toc96612099"/>
            <w:r w:rsidRPr="00E26EB5">
              <w:rPr>
                <w:rFonts w:asciiTheme="minorHAnsi" w:hAnsiTheme="minorHAnsi" w:cstheme="minorHAnsi"/>
                <w:szCs w:val="22"/>
                <w:lang w:eastAsia="fr-FR"/>
              </w:rPr>
              <w:t>Amendement nr. 1</w:t>
            </w:r>
            <w:r>
              <w:rPr>
                <w:rFonts w:asciiTheme="minorHAnsi" w:hAnsiTheme="minorHAnsi" w:cstheme="minorHAnsi"/>
                <w:szCs w:val="22"/>
                <w:lang w:eastAsia="fr-FR"/>
              </w:rPr>
              <w:t>5</w:t>
            </w:r>
            <w:bookmarkEnd w:id="22"/>
          </w:p>
        </w:tc>
      </w:tr>
      <w:tr w:rsidR="00ED34AE" w:rsidRPr="005648EB" w14:paraId="0FBDCA43" w14:textId="77777777" w:rsidTr="0025113D">
        <w:tc>
          <w:tcPr>
            <w:tcW w:w="4508" w:type="dxa"/>
          </w:tcPr>
          <w:p w14:paraId="31009C29" w14:textId="77777777" w:rsidR="00ED34AE" w:rsidRPr="005648EB" w:rsidRDefault="00ED34AE" w:rsidP="00ED34AE">
            <w:pPr>
              <w:rPr>
                <w:rFonts w:asciiTheme="minorHAnsi" w:hAnsiTheme="minorHAnsi" w:cstheme="minorHAnsi"/>
                <w:sz w:val="22"/>
              </w:rPr>
            </w:pPr>
          </w:p>
        </w:tc>
        <w:tc>
          <w:tcPr>
            <w:tcW w:w="4508" w:type="dxa"/>
          </w:tcPr>
          <w:p w14:paraId="7F73923A" w14:textId="77777777" w:rsidR="00ED34AE" w:rsidRPr="005648EB" w:rsidRDefault="00ED34AE" w:rsidP="00ED34AE">
            <w:pPr>
              <w:rPr>
                <w:rFonts w:asciiTheme="minorHAnsi" w:hAnsiTheme="minorHAnsi" w:cstheme="minorHAnsi"/>
                <w:sz w:val="22"/>
              </w:rPr>
            </w:pPr>
          </w:p>
        </w:tc>
      </w:tr>
      <w:tr w:rsidR="00ED34AE" w:rsidRPr="007A377E" w14:paraId="31B6CB5C" w14:textId="77777777" w:rsidTr="0025113D">
        <w:tc>
          <w:tcPr>
            <w:tcW w:w="4508" w:type="dxa"/>
          </w:tcPr>
          <w:p w14:paraId="10BE8F95" w14:textId="6F595476" w:rsidR="00ED34AE" w:rsidRPr="007A377E" w:rsidRDefault="00ED34AE" w:rsidP="00ED34AE">
            <w:pPr>
              <w:jc w:val="center"/>
              <w:rPr>
                <w:rFonts w:asciiTheme="minorHAnsi" w:hAnsiTheme="minorHAnsi" w:cstheme="minorHAnsi"/>
                <w:sz w:val="22"/>
              </w:rPr>
            </w:pPr>
            <w:proofErr w:type="spellStart"/>
            <w:r w:rsidRPr="007A377E">
              <w:rPr>
                <w:rFonts w:asciiTheme="minorHAnsi" w:hAnsiTheme="minorHAnsi" w:cstheme="minorHAnsi"/>
                <w:b/>
                <w:bCs/>
                <w:sz w:val="22"/>
                <w:lang w:eastAsia="fr-FR"/>
              </w:rPr>
              <w:t>Article</w:t>
            </w:r>
            <w:proofErr w:type="spellEnd"/>
            <w:r w:rsidRPr="007A377E">
              <w:rPr>
                <w:rFonts w:asciiTheme="minorHAnsi" w:hAnsiTheme="minorHAnsi" w:cstheme="minorHAnsi"/>
                <w:b/>
                <w:bCs/>
                <w:sz w:val="22"/>
                <w:lang w:eastAsia="fr-FR"/>
              </w:rPr>
              <w:t xml:space="preserve"> </w:t>
            </w:r>
            <w:r>
              <w:rPr>
                <w:rFonts w:asciiTheme="minorHAnsi" w:hAnsiTheme="minorHAnsi" w:cstheme="minorHAnsi"/>
                <w:b/>
                <w:bCs/>
                <w:sz w:val="22"/>
                <w:lang w:eastAsia="fr-FR"/>
              </w:rPr>
              <w:t>19/2</w:t>
            </w:r>
          </w:p>
        </w:tc>
        <w:tc>
          <w:tcPr>
            <w:tcW w:w="4508" w:type="dxa"/>
          </w:tcPr>
          <w:p w14:paraId="79970564" w14:textId="1C54C7F6" w:rsidR="00ED34AE" w:rsidRPr="007A377E" w:rsidRDefault="00ED34AE" w:rsidP="00ED34AE">
            <w:pPr>
              <w:jc w:val="center"/>
              <w:rPr>
                <w:rFonts w:asciiTheme="minorHAnsi" w:hAnsiTheme="minorHAnsi" w:cstheme="minorHAnsi"/>
                <w:sz w:val="22"/>
              </w:rPr>
            </w:pPr>
            <w:r w:rsidRPr="007A377E">
              <w:rPr>
                <w:rFonts w:asciiTheme="minorHAnsi" w:hAnsiTheme="minorHAnsi" w:cstheme="minorHAnsi"/>
                <w:b/>
                <w:bCs/>
                <w:sz w:val="22"/>
                <w:lang w:eastAsia="fr-FR"/>
              </w:rPr>
              <w:t xml:space="preserve">Artikel </w:t>
            </w:r>
            <w:r>
              <w:rPr>
                <w:rFonts w:asciiTheme="minorHAnsi" w:hAnsiTheme="minorHAnsi" w:cstheme="minorHAnsi"/>
                <w:b/>
                <w:bCs/>
                <w:sz w:val="22"/>
                <w:lang w:eastAsia="fr-FR"/>
              </w:rPr>
              <w:t>20</w:t>
            </w:r>
          </w:p>
        </w:tc>
      </w:tr>
      <w:tr w:rsidR="00ED34AE" w:rsidRPr="007A377E" w14:paraId="36A4365D" w14:textId="77777777" w:rsidTr="0025113D">
        <w:tc>
          <w:tcPr>
            <w:tcW w:w="4508" w:type="dxa"/>
          </w:tcPr>
          <w:p w14:paraId="63513D28" w14:textId="77777777" w:rsidR="00ED34AE" w:rsidRPr="007A377E" w:rsidRDefault="00ED34AE" w:rsidP="00ED34AE">
            <w:pPr>
              <w:rPr>
                <w:rFonts w:asciiTheme="minorHAnsi" w:hAnsiTheme="minorHAnsi" w:cstheme="minorHAnsi"/>
                <w:sz w:val="22"/>
              </w:rPr>
            </w:pPr>
          </w:p>
        </w:tc>
        <w:tc>
          <w:tcPr>
            <w:tcW w:w="4508" w:type="dxa"/>
          </w:tcPr>
          <w:p w14:paraId="3EA40D6F" w14:textId="77777777" w:rsidR="00ED34AE" w:rsidRPr="007A377E" w:rsidRDefault="00ED34AE" w:rsidP="00ED34AE">
            <w:pPr>
              <w:rPr>
                <w:rFonts w:asciiTheme="minorHAnsi" w:hAnsiTheme="minorHAnsi" w:cstheme="minorHAnsi"/>
                <w:sz w:val="22"/>
              </w:rPr>
            </w:pPr>
          </w:p>
        </w:tc>
      </w:tr>
      <w:tr w:rsidR="00ED34AE" w:rsidRPr="00FD3270" w14:paraId="1CAEDD3F" w14:textId="77777777" w:rsidTr="0025113D">
        <w:tc>
          <w:tcPr>
            <w:tcW w:w="4508" w:type="dxa"/>
          </w:tcPr>
          <w:p w14:paraId="6AA72EBE" w14:textId="3AA9B304" w:rsidR="00ED34AE" w:rsidRPr="007A377E" w:rsidRDefault="00ED34AE" w:rsidP="00ED34AE">
            <w:pPr>
              <w:jc w:val="both"/>
              <w:rPr>
                <w:rFonts w:asciiTheme="minorHAnsi" w:hAnsiTheme="minorHAnsi" w:cstheme="minorHAnsi"/>
                <w:sz w:val="22"/>
                <w:lang w:val="fr-BE"/>
              </w:rPr>
            </w:pPr>
            <w:r>
              <w:rPr>
                <w:rFonts w:asciiTheme="minorHAnsi" w:hAnsiTheme="minorHAnsi" w:cstheme="minorHAnsi"/>
                <w:sz w:val="22"/>
                <w:lang w:val="fr-BE"/>
              </w:rPr>
              <w:t>Insérer un article 25/1, rédigé comme suit</w:t>
            </w:r>
            <w:r w:rsidRPr="007A377E">
              <w:rPr>
                <w:rFonts w:asciiTheme="minorHAnsi" w:hAnsiTheme="minorHAnsi" w:cstheme="minorHAnsi"/>
                <w:sz w:val="22"/>
                <w:lang w:val="fr-BE"/>
              </w:rPr>
              <w:t xml:space="preserve"> : </w:t>
            </w:r>
          </w:p>
        </w:tc>
        <w:tc>
          <w:tcPr>
            <w:tcW w:w="4508" w:type="dxa"/>
          </w:tcPr>
          <w:p w14:paraId="2AB92AE2" w14:textId="1121DF7A" w:rsidR="00ED34AE" w:rsidRPr="007A377E" w:rsidRDefault="00ED34AE" w:rsidP="00ED34AE">
            <w:pPr>
              <w:jc w:val="both"/>
              <w:rPr>
                <w:rFonts w:asciiTheme="minorHAnsi" w:hAnsiTheme="minorHAnsi" w:cstheme="minorHAnsi"/>
                <w:sz w:val="22"/>
                <w:lang w:val="fr-BE"/>
              </w:rPr>
            </w:pPr>
            <w:proofErr w:type="spellStart"/>
            <w:r w:rsidRPr="00A715CA">
              <w:rPr>
                <w:rFonts w:asciiTheme="minorHAnsi" w:hAnsiTheme="minorHAnsi" w:cstheme="minorHAnsi"/>
                <w:sz w:val="22"/>
                <w:lang w:val="fr-BE"/>
              </w:rPr>
              <w:t>Een</w:t>
            </w:r>
            <w:proofErr w:type="spellEnd"/>
            <w:r w:rsidRPr="00A715CA">
              <w:rPr>
                <w:rFonts w:asciiTheme="minorHAnsi" w:hAnsiTheme="minorHAnsi" w:cstheme="minorHAnsi"/>
                <w:sz w:val="22"/>
                <w:lang w:val="fr-BE"/>
              </w:rPr>
              <w:t xml:space="preserve"> </w:t>
            </w:r>
            <w:proofErr w:type="spellStart"/>
            <w:r w:rsidRPr="00A715CA">
              <w:rPr>
                <w:rFonts w:asciiTheme="minorHAnsi" w:hAnsiTheme="minorHAnsi" w:cstheme="minorHAnsi"/>
                <w:sz w:val="22"/>
                <w:lang w:val="fr-BE"/>
              </w:rPr>
              <w:t>artikel</w:t>
            </w:r>
            <w:proofErr w:type="spellEnd"/>
            <w:r w:rsidRPr="00A715CA">
              <w:rPr>
                <w:rFonts w:asciiTheme="minorHAnsi" w:hAnsiTheme="minorHAnsi" w:cstheme="minorHAnsi"/>
                <w:sz w:val="22"/>
                <w:lang w:val="fr-BE"/>
              </w:rPr>
              <w:t xml:space="preserve"> 25/1 </w:t>
            </w:r>
            <w:proofErr w:type="spellStart"/>
            <w:r w:rsidRPr="00A715CA">
              <w:rPr>
                <w:rFonts w:asciiTheme="minorHAnsi" w:hAnsiTheme="minorHAnsi" w:cstheme="minorHAnsi"/>
                <w:sz w:val="22"/>
                <w:lang w:val="fr-BE"/>
              </w:rPr>
              <w:t>invoegen</w:t>
            </w:r>
            <w:proofErr w:type="spellEnd"/>
            <w:r w:rsidRPr="00A715CA">
              <w:rPr>
                <w:rFonts w:asciiTheme="minorHAnsi" w:hAnsiTheme="minorHAnsi" w:cstheme="minorHAnsi"/>
                <w:sz w:val="22"/>
                <w:lang w:val="fr-BE"/>
              </w:rPr>
              <w:t xml:space="preserve"> </w:t>
            </w:r>
            <w:proofErr w:type="spellStart"/>
            <w:r w:rsidRPr="00A715CA">
              <w:rPr>
                <w:rFonts w:asciiTheme="minorHAnsi" w:hAnsiTheme="minorHAnsi" w:cstheme="minorHAnsi"/>
                <w:sz w:val="22"/>
                <w:lang w:val="fr-BE"/>
              </w:rPr>
              <w:t>luidende</w:t>
            </w:r>
            <w:proofErr w:type="spellEnd"/>
            <w:r w:rsidRPr="00A715CA">
              <w:rPr>
                <w:rFonts w:asciiTheme="minorHAnsi" w:hAnsiTheme="minorHAnsi" w:cstheme="minorHAnsi"/>
                <w:sz w:val="22"/>
                <w:lang w:val="fr-BE"/>
              </w:rPr>
              <w:t>:</w:t>
            </w:r>
          </w:p>
        </w:tc>
      </w:tr>
      <w:tr w:rsidR="00ED34AE" w:rsidRPr="00FD3270" w14:paraId="38C5A1CA" w14:textId="77777777" w:rsidTr="0025113D">
        <w:tc>
          <w:tcPr>
            <w:tcW w:w="4508" w:type="dxa"/>
          </w:tcPr>
          <w:p w14:paraId="09D3A01A" w14:textId="77777777" w:rsidR="00ED34AE" w:rsidRPr="007A377E" w:rsidRDefault="00ED34AE" w:rsidP="00ED34AE">
            <w:pPr>
              <w:jc w:val="both"/>
              <w:rPr>
                <w:rFonts w:asciiTheme="minorHAnsi" w:hAnsiTheme="minorHAnsi" w:cstheme="minorHAnsi"/>
                <w:sz w:val="22"/>
                <w:lang w:val="fr-BE"/>
              </w:rPr>
            </w:pPr>
          </w:p>
        </w:tc>
        <w:tc>
          <w:tcPr>
            <w:tcW w:w="4508" w:type="dxa"/>
          </w:tcPr>
          <w:p w14:paraId="16B1A9A3" w14:textId="77777777" w:rsidR="00ED34AE" w:rsidRPr="007A377E" w:rsidRDefault="00ED34AE" w:rsidP="00ED34AE">
            <w:pPr>
              <w:jc w:val="both"/>
              <w:rPr>
                <w:rFonts w:asciiTheme="minorHAnsi" w:hAnsiTheme="minorHAnsi" w:cstheme="minorHAnsi"/>
                <w:sz w:val="22"/>
                <w:lang w:val="fr-BE"/>
              </w:rPr>
            </w:pPr>
          </w:p>
        </w:tc>
      </w:tr>
      <w:tr w:rsidR="00ED34AE" w:rsidRPr="007A377E" w14:paraId="578397A7" w14:textId="77777777" w:rsidTr="0025113D">
        <w:tc>
          <w:tcPr>
            <w:tcW w:w="4508" w:type="dxa"/>
          </w:tcPr>
          <w:p w14:paraId="14279C19" w14:textId="3D0106B2" w:rsidR="00ED34AE" w:rsidRPr="00D651A8" w:rsidRDefault="003A24C7" w:rsidP="00ED34AE">
            <w:pPr>
              <w:jc w:val="both"/>
              <w:rPr>
                <w:rFonts w:asciiTheme="minorHAnsi" w:hAnsiTheme="minorHAnsi" w:cstheme="minorHAnsi"/>
                <w:sz w:val="22"/>
                <w:lang w:val="fr-BE"/>
              </w:rPr>
            </w:pPr>
            <w:r w:rsidRPr="003A24C7">
              <w:rPr>
                <w:rFonts w:asciiTheme="minorHAnsi" w:hAnsiTheme="minorHAnsi" w:cstheme="minorHAnsi"/>
                <w:sz w:val="22"/>
                <w:lang w:val="fr-BE"/>
              </w:rPr>
              <w:t>« </w:t>
            </w:r>
            <w:r w:rsidR="00ED34AE" w:rsidRPr="00D651A8">
              <w:rPr>
                <w:rFonts w:asciiTheme="minorHAnsi" w:hAnsiTheme="minorHAnsi" w:cstheme="minorHAnsi"/>
                <w:b/>
                <w:bCs/>
                <w:sz w:val="22"/>
                <w:lang w:val="fr-BE"/>
              </w:rPr>
              <w:t>§ 1.</w:t>
            </w:r>
            <w:r w:rsidR="00ED34AE" w:rsidRPr="00D651A8">
              <w:rPr>
                <w:rFonts w:asciiTheme="minorHAnsi" w:hAnsiTheme="minorHAnsi" w:cstheme="minorHAnsi"/>
                <w:sz w:val="22"/>
                <w:lang w:val="fr-BE"/>
              </w:rPr>
              <w:t xml:space="preserve"> Afin de rechercher, de constater ou de poursuivre une infraction visée à l’article 145, § 3 ou § 3</w:t>
            </w:r>
            <w:r w:rsidR="00ED34AE" w:rsidRPr="00D651A8">
              <w:rPr>
                <w:rFonts w:asciiTheme="minorHAnsi" w:hAnsiTheme="minorHAnsi" w:cstheme="minorHAnsi"/>
                <w:i/>
                <w:sz w:val="22"/>
                <w:lang w:val="fr-BE"/>
              </w:rPr>
              <w:t>bis</w:t>
            </w:r>
            <w:r w:rsidR="00ED34AE" w:rsidRPr="00D651A8">
              <w:rPr>
                <w:rFonts w:asciiTheme="minorHAnsi" w:hAnsiTheme="minorHAnsi" w:cstheme="minorHAnsi"/>
                <w:sz w:val="22"/>
                <w:lang w:val="fr-BE"/>
              </w:rPr>
              <w:t>, de la loi du 13 juin 2005 relative aux communications électroniques ou à l’article 24, § 1</w:t>
            </w:r>
            <w:r w:rsidR="00ED34AE" w:rsidRPr="00D651A8">
              <w:rPr>
                <w:rFonts w:asciiTheme="minorHAnsi" w:hAnsiTheme="minorHAnsi" w:cstheme="minorHAnsi"/>
                <w:sz w:val="22"/>
                <w:vertAlign w:val="superscript"/>
                <w:lang w:val="fr-BE"/>
              </w:rPr>
              <w:t>er</w:t>
            </w:r>
            <w:r w:rsidR="00ED34AE" w:rsidRPr="00D651A8">
              <w:rPr>
                <w:rFonts w:asciiTheme="minorHAnsi" w:hAnsiTheme="minorHAnsi" w:cstheme="minorHAnsi"/>
                <w:sz w:val="22"/>
                <w:lang w:val="fr-BE"/>
              </w:rPr>
              <w:t xml:space="preserve">, 2°, un officier de police judiciaire de l’Institut peut, par écrit: </w:t>
            </w:r>
          </w:p>
        </w:tc>
        <w:tc>
          <w:tcPr>
            <w:tcW w:w="4508" w:type="dxa"/>
          </w:tcPr>
          <w:p w14:paraId="4E9C26A6" w14:textId="09F0975A" w:rsidR="00ED34AE" w:rsidRPr="00D651A8" w:rsidRDefault="003A24C7" w:rsidP="00ED34AE">
            <w:pPr>
              <w:jc w:val="both"/>
              <w:rPr>
                <w:rFonts w:asciiTheme="minorHAnsi" w:hAnsiTheme="minorHAnsi" w:cstheme="minorHAnsi"/>
                <w:sz w:val="22"/>
              </w:rPr>
            </w:pPr>
            <w:r w:rsidRPr="003A24C7">
              <w:rPr>
                <w:rFonts w:asciiTheme="minorHAnsi" w:hAnsiTheme="minorHAnsi" w:cstheme="minorHAnsi"/>
                <w:bCs/>
                <w:sz w:val="22"/>
              </w:rPr>
              <w:t>«</w:t>
            </w:r>
            <w:r w:rsidRPr="003A24C7">
              <w:rPr>
                <w:rFonts w:asciiTheme="minorHAnsi" w:hAnsiTheme="minorHAnsi" w:cstheme="minorHAnsi"/>
                <w:b/>
                <w:sz w:val="22"/>
              </w:rPr>
              <w:t> </w:t>
            </w:r>
            <w:r w:rsidR="00ED34AE" w:rsidRPr="00D651A8">
              <w:rPr>
                <w:rFonts w:asciiTheme="minorHAnsi" w:hAnsiTheme="minorHAnsi" w:cstheme="minorHAnsi"/>
                <w:b/>
                <w:sz w:val="22"/>
              </w:rPr>
              <w:t xml:space="preserve">§ </w:t>
            </w:r>
            <w:r w:rsidR="00ED34AE" w:rsidRPr="00D651A8">
              <w:rPr>
                <w:rFonts w:asciiTheme="minorHAnsi" w:hAnsiTheme="minorHAnsi" w:cstheme="minorHAnsi"/>
                <w:b/>
                <w:bCs/>
                <w:sz w:val="22"/>
              </w:rPr>
              <w:t>1.</w:t>
            </w:r>
            <w:r w:rsidR="00ED34AE" w:rsidRPr="00D651A8">
              <w:rPr>
                <w:rFonts w:asciiTheme="minorHAnsi" w:hAnsiTheme="minorHAnsi" w:cstheme="minorHAnsi"/>
                <w:sz w:val="22"/>
              </w:rPr>
              <w:t xml:space="preserve"> Om een inbreuk bedoeld in artikel 145, § 3 of § 3</w:t>
            </w:r>
            <w:r w:rsidR="00ED34AE" w:rsidRPr="00D651A8">
              <w:rPr>
                <w:rFonts w:asciiTheme="minorHAnsi" w:hAnsiTheme="minorHAnsi" w:cstheme="minorHAnsi"/>
                <w:i/>
                <w:iCs/>
                <w:sz w:val="22"/>
              </w:rPr>
              <w:t>bis</w:t>
            </w:r>
            <w:r w:rsidR="00ED34AE" w:rsidRPr="00D651A8">
              <w:rPr>
                <w:rFonts w:asciiTheme="minorHAnsi" w:hAnsiTheme="minorHAnsi" w:cstheme="minorHAnsi"/>
                <w:sz w:val="22"/>
              </w:rPr>
              <w:t>, van de wet van 13 juni 2005 betreffende de elektronische communicatie of in artikel 24, § 1, 2°, te kunnen opsporen, vaststellen of vervolgen, kan een officier van gerechtelijke politie van het Instituut, schriftelijk:</w:t>
            </w:r>
          </w:p>
        </w:tc>
      </w:tr>
      <w:tr w:rsidR="00ED34AE" w:rsidRPr="007A377E" w14:paraId="3818B996" w14:textId="77777777" w:rsidTr="0025113D">
        <w:tc>
          <w:tcPr>
            <w:tcW w:w="4508" w:type="dxa"/>
          </w:tcPr>
          <w:p w14:paraId="1AEC381A" w14:textId="77777777" w:rsidR="00ED34AE" w:rsidRPr="00D651A8" w:rsidRDefault="00ED34AE" w:rsidP="00ED34AE">
            <w:pPr>
              <w:jc w:val="both"/>
              <w:rPr>
                <w:rFonts w:asciiTheme="minorHAnsi" w:hAnsiTheme="minorHAnsi" w:cstheme="minorHAnsi"/>
                <w:sz w:val="22"/>
              </w:rPr>
            </w:pPr>
          </w:p>
        </w:tc>
        <w:tc>
          <w:tcPr>
            <w:tcW w:w="4508" w:type="dxa"/>
          </w:tcPr>
          <w:p w14:paraId="7330F44A" w14:textId="77777777" w:rsidR="00ED34AE" w:rsidRPr="00D651A8" w:rsidRDefault="00ED34AE" w:rsidP="00ED34AE">
            <w:pPr>
              <w:jc w:val="both"/>
              <w:rPr>
                <w:rFonts w:asciiTheme="minorHAnsi" w:hAnsiTheme="minorHAnsi" w:cstheme="minorHAnsi"/>
                <w:sz w:val="22"/>
              </w:rPr>
            </w:pPr>
          </w:p>
        </w:tc>
      </w:tr>
      <w:tr w:rsidR="00ED34AE" w:rsidRPr="007A377E" w14:paraId="157F8BBC" w14:textId="77777777" w:rsidTr="0025113D">
        <w:tc>
          <w:tcPr>
            <w:tcW w:w="4508" w:type="dxa"/>
          </w:tcPr>
          <w:p w14:paraId="0C9E1A21" w14:textId="620CD0E2" w:rsidR="00ED34AE" w:rsidRPr="00D651A8" w:rsidRDefault="00ED34AE" w:rsidP="00ED34AE">
            <w:pPr>
              <w:jc w:val="both"/>
              <w:rPr>
                <w:rFonts w:asciiTheme="minorHAnsi" w:hAnsiTheme="minorHAnsi" w:cstheme="minorHAnsi"/>
                <w:sz w:val="22"/>
                <w:lang w:val="fr-BE"/>
              </w:rPr>
            </w:pPr>
            <w:r w:rsidRPr="00D651A8">
              <w:rPr>
                <w:rFonts w:asciiTheme="minorHAnsi" w:hAnsiTheme="minorHAnsi" w:cstheme="minorHAnsi"/>
                <w:sz w:val="22"/>
                <w:lang w:val="fr-BE"/>
              </w:rPr>
              <w:t xml:space="preserve">1° exiger d’un opérateur de lui fournir les données relatives à l’abonné ou à l’utilisateur habituel du service qui sont nécessaires à ces fins ; </w:t>
            </w:r>
          </w:p>
        </w:tc>
        <w:tc>
          <w:tcPr>
            <w:tcW w:w="4508" w:type="dxa"/>
          </w:tcPr>
          <w:p w14:paraId="285D11C5" w14:textId="20B64BD7" w:rsidR="00ED34AE" w:rsidRPr="00D651A8" w:rsidRDefault="00ED34AE" w:rsidP="00ED34AE">
            <w:pPr>
              <w:jc w:val="both"/>
              <w:rPr>
                <w:rFonts w:asciiTheme="minorHAnsi" w:hAnsiTheme="minorHAnsi" w:cstheme="minorHAnsi"/>
                <w:sz w:val="22"/>
              </w:rPr>
            </w:pPr>
            <w:r w:rsidRPr="00D651A8">
              <w:rPr>
                <w:rFonts w:asciiTheme="minorHAnsi" w:hAnsiTheme="minorHAnsi" w:cstheme="minorHAnsi"/>
                <w:sz w:val="22"/>
              </w:rPr>
              <w:t>1° van een operator eisen hem de gegevens betreffende de abonnee of de gewoonlijke gebruiker van de dienst te verstrekken, die hiertoe nodig zijn;</w:t>
            </w:r>
          </w:p>
        </w:tc>
      </w:tr>
      <w:tr w:rsidR="00ED34AE" w:rsidRPr="007A377E" w14:paraId="636567CE" w14:textId="77777777" w:rsidTr="0025113D">
        <w:tc>
          <w:tcPr>
            <w:tcW w:w="4508" w:type="dxa"/>
          </w:tcPr>
          <w:p w14:paraId="5920649E" w14:textId="77777777" w:rsidR="00ED34AE" w:rsidRPr="00D651A8" w:rsidRDefault="00ED34AE" w:rsidP="00ED34AE">
            <w:pPr>
              <w:jc w:val="both"/>
              <w:rPr>
                <w:rFonts w:asciiTheme="minorHAnsi" w:hAnsiTheme="minorHAnsi" w:cstheme="minorHAnsi"/>
                <w:sz w:val="22"/>
              </w:rPr>
            </w:pPr>
          </w:p>
        </w:tc>
        <w:tc>
          <w:tcPr>
            <w:tcW w:w="4508" w:type="dxa"/>
          </w:tcPr>
          <w:p w14:paraId="4AC0D984" w14:textId="77777777" w:rsidR="00ED34AE" w:rsidRPr="00D651A8" w:rsidRDefault="00ED34AE" w:rsidP="00ED34AE">
            <w:pPr>
              <w:jc w:val="both"/>
              <w:rPr>
                <w:rFonts w:asciiTheme="minorHAnsi" w:hAnsiTheme="minorHAnsi" w:cstheme="minorHAnsi"/>
                <w:sz w:val="22"/>
              </w:rPr>
            </w:pPr>
          </w:p>
        </w:tc>
      </w:tr>
      <w:tr w:rsidR="00ED34AE" w:rsidRPr="007A377E" w14:paraId="65A97D02" w14:textId="77777777" w:rsidTr="0025113D">
        <w:tc>
          <w:tcPr>
            <w:tcW w:w="4508" w:type="dxa"/>
          </w:tcPr>
          <w:p w14:paraId="444C3548" w14:textId="5F971612" w:rsidR="00ED34AE" w:rsidRPr="00D651A8" w:rsidRDefault="00ED34AE" w:rsidP="00ED34AE">
            <w:pPr>
              <w:jc w:val="both"/>
              <w:rPr>
                <w:rFonts w:asciiTheme="minorHAnsi" w:hAnsiTheme="minorHAnsi" w:cstheme="minorHAnsi"/>
                <w:sz w:val="22"/>
                <w:lang w:val="fr-BE"/>
              </w:rPr>
            </w:pPr>
            <w:r w:rsidRPr="00D651A8">
              <w:rPr>
                <w:rFonts w:asciiTheme="minorHAnsi" w:hAnsiTheme="minorHAnsi" w:cstheme="minorHAnsi"/>
                <w:sz w:val="22"/>
                <w:lang w:val="fr-BE"/>
              </w:rPr>
              <w:t xml:space="preserve">2° requérir la collaboration </w:t>
            </w:r>
            <w:r w:rsidRPr="00D651A8">
              <w:rPr>
                <w:rFonts w:asciiTheme="minorHAnsi" w:hAnsiTheme="minorHAnsi" w:cstheme="minorHAnsi"/>
                <w:sz w:val="22"/>
                <w:lang w:val="fr-FR"/>
              </w:rPr>
              <w:t>des personnes et institutions visées à l’article 46</w:t>
            </w:r>
            <w:r w:rsidRPr="00D651A8">
              <w:rPr>
                <w:rFonts w:asciiTheme="minorHAnsi" w:hAnsiTheme="minorHAnsi" w:cstheme="minorHAnsi"/>
                <w:i/>
                <w:iCs/>
                <w:sz w:val="22"/>
                <w:lang w:val="fr-FR"/>
              </w:rPr>
              <w:t>quater</w:t>
            </w:r>
            <w:r w:rsidRPr="00D651A8">
              <w:rPr>
                <w:rFonts w:asciiTheme="minorHAnsi" w:hAnsiTheme="minorHAnsi" w:cstheme="minorHAnsi"/>
                <w:sz w:val="22"/>
                <w:lang w:val="fr-FR"/>
              </w:rPr>
              <w:t>, § 1</w:t>
            </w:r>
            <w:r w:rsidRPr="00D651A8">
              <w:rPr>
                <w:rFonts w:asciiTheme="minorHAnsi" w:hAnsiTheme="minorHAnsi" w:cstheme="minorHAnsi"/>
                <w:sz w:val="22"/>
                <w:vertAlign w:val="superscript"/>
                <w:lang w:val="fr-FR"/>
              </w:rPr>
              <w:t>er</w:t>
            </w:r>
            <w:r w:rsidRPr="00D651A8">
              <w:rPr>
                <w:rFonts w:asciiTheme="minorHAnsi" w:hAnsiTheme="minorHAnsi" w:cstheme="minorHAnsi"/>
                <w:sz w:val="22"/>
                <w:lang w:val="fr-FR"/>
              </w:rPr>
              <w:t xml:space="preserve">, du Code d’instruction criminelle et d’associations les représentant, sur la base de la référence d'une transaction bancaire électronique qui a préalablement été communiquée par un opérateur conformément au 1°, afin d’identifier la personne qui a payé le service ; </w:t>
            </w:r>
          </w:p>
        </w:tc>
        <w:tc>
          <w:tcPr>
            <w:tcW w:w="4508" w:type="dxa"/>
          </w:tcPr>
          <w:p w14:paraId="3AA4F721" w14:textId="4236A427" w:rsidR="00ED34AE" w:rsidRPr="00D651A8" w:rsidRDefault="00ED34AE" w:rsidP="00ED34AE">
            <w:pPr>
              <w:jc w:val="both"/>
              <w:rPr>
                <w:rFonts w:asciiTheme="minorHAnsi" w:hAnsiTheme="minorHAnsi" w:cstheme="minorHAnsi"/>
                <w:sz w:val="22"/>
              </w:rPr>
            </w:pPr>
            <w:r w:rsidRPr="00D651A8">
              <w:rPr>
                <w:rFonts w:asciiTheme="minorHAnsi" w:hAnsiTheme="minorHAnsi" w:cstheme="minorHAnsi"/>
                <w:sz w:val="22"/>
              </w:rPr>
              <w:t>2° de medewerking vorderen van de personen en instellingen bedoeld in artikel 46</w:t>
            </w:r>
            <w:r w:rsidRPr="00D651A8">
              <w:rPr>
                <w:rFonts w:asciiTheme="minorHAnsi" w:hAnsiTheme="minorHAnsi" w:cstheme="minorHAnsi"/>
                <w:i/>
                <w:iCs/>
                <w:sz w:val="22"/>
              </w:rPr>
              <w:t>quater</w:t>
            </w:r>
            <w:r w:rsidRPr="00D651A8">
              <w:rPr>
                <w:rFonts w:asciiTheme="minorHAnsi" w:hAnsiTheme="minorHAnsi" w:cstheme="minorHAnsi"/>
                <w:sz w:val="22"/>
              </w:rPr>
              <w:t>, § 1, van het Wetboek van Strafvordering en van verenigingen die hen vertegenwoordigen, op basis van de referentie van een elektronische banktransactie die voorafgaand meegedeeld is door een operator overeenkomstig de bepaling onder 1°, om de persoon te identificeren die de dienst heeft betaald;</w:t>
            </w:r>
          </w:p>
        </w:tc>
      </w:tr>
      <w:tr w:rsidR="00ED34AE" w:rsidRPr="007A377E" w14:paraId="66153A86" w14:textId="77777777" w:rsidTr="0025113D">
        <w:tc>
          <w:tcPr>
            <w:tcW w:w="4508" w:type="dxa"/>
          </w:tcPr>
          <w:p w14:paraId="2481732E" w14:textId="77777777" w:rsidR="00ED34AE" w:rsidRPr="00D651A8" w:rsidRDefault="00ED34AE" w:rsidP="00ED34AE">
            <w:pPr>
              <w:jc w:val="both"/>
              <w:rPr>
                <w:rFonts w:asciiTheme="minorHAnsi" w:hAnsiTheme="minorHAnsi" w:cstheme="minorHAnsi"/>
                <w:sz w:val="22"/>
              </w:rPr>
            </w:pPr>
          </w:p>
        </w:tc>
        <w:tc>
          <w:tcPr>
            <w:tcW w:w="4508" w:type="dxa"/>
          </w:tcPr>
          <w:p w14:paraId="152C7871" w14:textId="77777777" w:rsidR="00ED34AE" w:rsidRPr="00D651A8" w:rsidRDefault="00ED34AE" w:rsidP="00ED34AE">
            <w:pPr>
              <w:jc w:val="both"/>
              <w:rPr>
                <w:rFonts w:asciiTheme="minorHAnsi" w:hAnsiTheme="minorHAnsi" w:cstheme="minorHAnsi"/>
                <w:sz w:val="22"/>
              </w:rPr>
            </w:pPr>
          </w:p>
        </w:tc>
      </w:tr>
      <w:tr w:rsidR="00ED34AE" w:rsidRPr="007A377E" w14:paraId="7B95D83C" w14:textId="77777777" w:rsidTr="0025113D">
        <w:tc>
          <w:tcPr>
            <w:tcW w:w="4508" w:type="dxa"/>
          </w:tcPr>
          <w:p w14:paraId="57731EB7" w14:textId="3CF2C6EB" w:rsidR="00ED34AE" w:rsidRPr="00D651A8" w:rsidRDefault="00ED34AE" w:rsidP="00ED34AE">
            <w:pPr>
              <w:jc w:val="both"/>
              <w:rPr>
                <w:rFonts w:asciiTheme="minorHAnsi" w:hAnsiTheme="minorHAnsi" w:cstheme="minorHAnsi"/>
                <w:sz w:val="22"/>
                <w:lang w:val="fr-BE"/>
              </w:rPr>
            </w:pPr>
            <w:r w:rsidRPr="00D651A8">
              <w:rPr>
                <w:rFonts w:asciiTheme="minorHAnsi" w:hAnsiTheme="minorHAnsi" w:cstheme="minorHAnsi"/>
                <w:sz w:val="22"/>
                <w:lang w:val="fr-FR"/>
              </w:rPr>
              <w:t>3° requérir la collaboration des centres fermés ou des lieux d’hébergement au sens des articles 74/8 et 74/9 de la loi du 15 décembre 1980 sur l'accès au territoire, le séjour, l'établissement et l'éloignement des étrangers, où la souscription de l'abonné à un service de communications électroniques  a été effectué, sur la base des coordonnées du centre ou du lieu d’hébergement qui ont préalablement été communiquées par un opérateur conformément au 1°, afin d’identifier l’abonné;</w:t>
            </w:r>
          </w:p>
        </w:tc>
        <w:tc>
          <w:tcPr>
            <w:tcW w:w="4508" w:type="dxa"/>
          </w:tcPr>
          <w:p w14:paraId="766E2BDE" w14:textId="48C5ED74" w:rsidR="00ED34AE" w:rsidRPr="00D651A8" w:rsidRDefault="00ED34AE" w:rsidP="00ED34AE">
            <w:pPr>
              <w:jc w:val="both"/>
              <w:rPr>
                <w:rFonts w:asciiTheme="minorHAnsi" w:hAnsiTheme="minorHAnsi" w:cstheme="minorHAnsi"/>
                <w:sz w:val="22"/>
              </w:rPr>
            </w:pPr>
            <w:r w:rsidRPr="00D651A8">
              <w:rPr>
                <w:rFonts w:asciiTheme="minorHAnsi" w:hAnsiTheme="minorHAnsi" w:cstheme="minorHAnsi"/>
                <w:sz w:val="22"/>
              </w:rPr>
              <w:t>3° de medewerking vorderen van de gesloten centra of woonunits in de zin van de artikelen 74/8 en 74/9 van de wet van 15 december 1980 betreffende de toegang tot het grondgebied, het verblijf, de vestiging en de verwijdering van vreemdelingen, waar de inschrijving van de abonnee op een elektronische-communicatiedienst heeft plaatsgevonden, op basis van de contactgegevens van het centrum of de woonunit die voorafgaand meegedeeld zijn door een operator overeenkomstig de bepaling onder 1°, om de abonnee te identificeren;</w:t>
            </w:r>
          </w:p>
        </w:tc>
      </w:tr>
      <w:tr w:rsidR="00ED34AE" w:rsidRPr="007A377E" w14:paraId="5F994F4C" w14:textId="77777777" w:rsidTr="0025113D">
        <w:tc>
          <w:tcPr>
            <w:tcW w:w="4508" w:type="dxa"/>
          </w:tcPr>
          <w:p w14:paraId="3E9567EA" w14:textId="77777777" w:rsidR="00ED34AE" w:rsidRPr="00D651A8" w:rsidRDefault="00ED34AE" w:rsidP="00ED34AE">
            <w:pPr>
              <w:jc w:val="both"/>
              <w:rPr>
                <w:rFonts w:asciiTheme="minorHAnsi" w:hAnsiTheme="minorHAnsi" w:cstheme="minorHAnsi"/>
                <w:sz w:val="22"/>
              </w:rPr>
            </w:pPr>
          </w:p>
        </w:tc>
        <w:tc>
          <w:tcPr>
            <w:tcW w:w="4508" w:type="dxa"/>
          </w:tcPr>
          <w:p w14:paraId="04C04810" w14:textId="77777777" w:rsidR="00ED34AE" w:rsidRPr="00D651A8" w:rsidRDefault="00ED34AE" w:rsidP="00ED34AE">
            <w:pPr>
              <w:jc w:val="both"/>
              <w:rPr>
                <w:rFonts w:asciiTheme="minorHAnsi" w:hAnsiTheme="minorHAnsi" w:cstheme="minorHAnsi"/>
                <w:sz w:val="22"/>
              </w:rPr>
            </w:pPr>
          </w:p>
        </w:tc>
      </w:tr>
      <w:tr w:rsidR="00ED34AE" w:rsidRPr="007A377E" w14:paraId="772E9E04" w14:textId="77777777" w:rsidTr="0025113D">
        <w:tc>
          <w:tcPr>
            <w:tcW w:w="4508" w:type="dxa"/>
          </w:tcPr>
          <w:p w14:paraId="1FE9E7F7" w14:textId="6C334AF0" w:rsidR="00ED34AE" w:rsidRPr="00D651A8" w:rsidRDefault="00ED34AE" w:rsidP="00ED34AE">
            <w:pPr>
              <w:jc w:val="both"/>
              <w:rPr>
                <w:rFonts w:asciiTheme="minorHAnsi" w:hAnsiTheme="minorHAnsi" w:cstheme="minorHAnsi"/>
                <w:sz w:val="22"/>
                <w:lang w:val="fr-BE"/>
              </w:rPr>
            </w:pPr>
            <w:r w:rsidRPr="00D651A8">
              <w:rPr>
                <w:rFonts w:asciiTheme="minorHAnsi" w:hAnsiTheme="minorHAnsi" w:cstheme="minorHAnsi"/>
                <w:sz w:val="22"/>
                <w:lang w:val="fr-FR"/>
              </w:rPr>
              <w:t>4° requérir la collaboration de toute autre personne morale qui est l’abonné d’un opérateur ou qui souscrit à un service de communications électroniques au nom et pour le compte de personnes physiques, sur la base des données qui ont préalablement été communiquées par un opérateur conformément au 1°, afin d’identifier l’abonné ou l’utilisateur habituel du service. </w:t>
            </w:r>
          </w:p>
        </w:tc>
        <w:tc>
          <w:tcPr>
            <w:tcW w:w="4508" w:type="dxa"/>
          </w:tcPr>
          <w:p w14:paraId="6B74B41D" w14:textId="06CEC430" w:rsidR="00ED34AE" w:rsidRPr="00D651A8" w:rsidRDefault="00ED34AE" w:rsidP="00ED34AE">
            <w:pPr>
              <w:jc w:val="both"/>
              <w:rPr>
                <w:rFonts w:asciiTheme="minorHAnsi" w:hAnsiTheme="minorHAnsi" w:cstheme="minorHAnsi"/>
                <w:sz w:val="22"/>
              </w:rPr>
            </w:pPr>
            <w:r w:rsidRPr="00D651A8">
              <w:rPr>
                <w:rFonts w:asciiTheme="minorHAnsi" w:hAnsiTheme="minorHAnsi" w:cstheme="minorHAnsi"/>
                <w:sz w:val="22"/>
              </w:rPr>
              <w:t>4° de medewerking vorderen van andere rechtspersonen die de abonnee zijn van een operator, of die zich in naam en voor rekening van natuurlijke personen abonneren op een elektronische-communicatiedienst, op basis van de gegevens die voorafgaand meegedeeld zijn door een operator overeenkomstig de bepaling onder 1°, om de abonnee of de gewoonlijke gebruiker van de dienst te identificeren.</w:t>
            </w:r>
          </w:p>
        </w:tc>
      </w:tr>
      <w:tr w:rsidR="00ED34AE" w:rsidRPr="007A377E" w14:paraId="3F6269EB" w14:textId="77777777" w:rsidTr="0025113D">
        <w:tc>
          <w:tcPr>
            <w:tcW w:w="4508" w:type="dxa"/>
          </w:tcPr>
          <w:p w14:paraId="5270E56E" w14:textId="77777777" w:rsidR="00ED34AE" w:rsidRPr="00D651A8" w:rsidRDefault="00ED34AE" w:rsidP="00ED34AE">
            <w:pPr>
              <w:jc w:val="both"/>
              <w:rPr>
                <w:rFonts w:asciiTheme="minorHAnsi" w:hAnsiTheme="minorHAnsi" w:cstheme="minorHAnsi"/>
                <w:sz w:val="22"/>
              </w:rPr>
            </w:pPr>
          </w:p>
        </w:tc>
        <w:tc>
          <w:tcPr>
            <w:tcW w:w="4508" w:type="dxa"/>
          </w:tcPr>
          <w:p w14:paraId="501E8F0B" w14:textId="77777777" w:rsidR="00ED34AE" w:rsidRPr="00D651A8" w:rsidRDefault="00ED34AE" w:rsidP="00ED34AE">
            <w:pPr>
              <w:jc w:val="both"/>
              <w:rPr>
                <w:rFonts w:asciiTheme="minorHAnsi" w:hAnsiTheme="minorHAnsi" w:cstheme="minorHAnsi"/>
                <w:sz w:val="22"/>
              </w:rPr>
            </w:pPr>
          </w:p>
        </w:tc>
      </w:tr>
      <w:tr w:rsidR="00ED34AE" w:rsidRPr="007A377E" w14:paraId="22B961A7" w14:textId="77777777" w:rsidTr="0025113D">
        <w:tc>
          <w:tcPr>
            <w:tcW w:w="4508" w:type="dxa"/>
          </w:tcPr>
          <w:p w14:paraId="3D863CCE" w14:textId="45492799" w:rsidR="00ED34AE" w:rsidRPr="00D651A8" w:rsidRDefault="00ED34AE" w:rsidP="00ED34AE">
            <w:pPr>
              <w:jc w:val="both"/>
              <w:rPr>
                <w:rFonts w:asciiTheme="minorHAnsi" w:hAnsiTheme="minorHAnsi" w:cstheme="minorHAnsi"/>
                <w:sz w:val="22"/>
                <w:lang w:val="fr-BE"/>
              </w:rPr>
            </w:pPr>
            <w:r w:rsidRPr="00D651A8">
              <w:rPr>
                <w:rFonts w:asciiTheme="minorHAnsi" w:hAnsiTheme="minorHAnsi" w:cstheme="minorHAnsi"/>
                <w:sz w:val="22"/>
                <w:lang w:val="fr-BE"/>
              </w:rPr>
              <w:t>Une demande visée à l’alinéa 1</w:t>
            </w:r>
            <w:r w:rsidRPr="00D651A8">
              <w:rPr>
                <w:rFonts w:asciiTheme="minorHAnsi" w:hAnsiTheme="minorHAnsi" w:cstheme="minorHAnsi"/>
                <w:sz w:val="22"/>
                <w:vertAlign w:val="superscript"/>
                <w:lang w:val="fr-BE"/>
              </w:rPr>
              <w:t>er</w:t>
            </w:r>
            <w:r w:rsidRPr="00D651A8">
              <w:rPr>
                <w:rFonts w:asciiTheme="minorHAnsi" w:hAnsiTheme="minorHAnsi" w:cstheme="minorHAnsi"/>
                <w:sz w:val="22"/>
                <w:lang w:val="fr-BE"/>
              </w:rPr>
              <w:t xml:space="preserve"> ne peut être transmise à un acteur visé à l’alinéa 1</w:t>
            </w:r>
            <w:r w:rsidRPr="00D651A8">
              <w:rPr>
                <w:rFonts w:asciiTheme="minorHAnsi" w:hAnsiTheme="minorHAnsi" w:cstheme="minorHAnsi"/>
                <w:sz w:val="22"/>
                <w:vertAlign w:val="superscript"/>
                <w:lang w:val="fr-BE"/>
              </w:rPr>
              <w:t>er</w:t>
            </w:r>
            <w:r w:rsidRPr="00D651A8">
              <w:rPr>
                <w:rFonts w:asciiTheme="minorHAnsi" w:hAnsiTheme="minorHAnsi" w:cstheme="minorHAnsi"/>
                <w:sz w:val="22"/>
                <w:lang w:val="fr-BE"/>
              </w:rPr>
              <w:t xml:space="preserve"> qu’après autorisation écrite d’un officier de police judiciaire visé à l’article 24, § 2. Cette autorisation ne peut être octroyée que sur demande écrite et motivée adressée à cet officier conformément au § 5. </w:t>
            </w:r>
          </w:p>
        </w:tc>
        <w:tc>
          <w:tcPr>
            <w:tcW w:w="4508" w:type="dxa"/>
          </w:tcPr>
          <w:p w14:paraId="61D77BE8" w14:textId="22810155" w:rsidR="00ED34AE" w:rsidRPr="00D651A8" w:rsidRDefault="00ED34AE" w:rsidP="00ED34AE">
            <w:pPr>
              <w:jc w:val="both"/>
              <w:rPr>
                <w:rFonts w:asciiTheme="minorHAnsi" w:hAnsiTheme="minorHAnsi" w:cstheme="minorHAnsi"/>
                <w:sz w:val="22"/>
              </w:rPr>
            </w:pPr>
            <w:r w:rsidRPr="00D651A8">
              <w:rPr>
                <w:rFonts w:asciiTheme="minorHAnsi" w:hAnsiTheme="minorHAnsi" w:cstheme="minorHAnsi"/>
                <w:sz w:val="22"/>
              </w:rPr>
              <w:t>Een in het eerste lid bedoeld verzoek mag aan een in het eerste lid bedoelde actor pas worden doorgestuurd na de schriftelijke toestemming van een in artikel 24, § 2 bedoelde officier van gerechtelijke politie.  Deze toestemming mag maar worden verleend op schriftelijk en met redenen omkleed verzoek gericht aan deze officier overeenkomstig § 5.</w:t>
            </w:r>
          </w:p>
        </w:tc>
      </w:tr>
      <w:tr w:rsidR="00ED34AE" w:rsidRPr="007A377E" w14:paraId="5F10BB11" w14:textId="77777777" w:rsidTr="0025113D">
        <w:tc>
          <w:tcPr>
            <w:tcW w:w="4508" w:type="dxa"/>
          </w:tcPr>
          <w:p w14:paraId="5446CCC3" w14:textId="77777777" w:rsidR="00ED34AE" w:rsidRPr="00D651A8" w:rsidRDefault="00ED34AE" w:rsidP="00ED34AE">
            <w:pPr>
              <w:jc w:val="both"/>
              <w:rPr>
                <w:rFonts w:asciiTheme="minorHAnsi" w:hAnsiTheme="minorHAnsi" w:cstheme="minorHAnsi"/>
                <w:sz w:val="22"/>
              </w:rPr>
            </w:pPr>
          </w:p>
        </w:tc>
        <w:tc>
          <w:tcPr>
            <w:tcW w:w="4508" w:type="dxa"/>
          </w:tcPr>
          <w:p w14:paraId="3B2A411D" w14:textId="77777777" w:rsidR="00ED34AE" w:rsidRPr="00D651A8" w:rsidRDefault="00ED34AE" w:rsidP="00ED34AE">
            <w:pPr>
              <w:jc w:val="both"/>
              <w:rPr>
                <w:rFonts w:asciiTheme="minorHAnsi" w:hAnsiTheme="minorHAnsi" w:cstheme="minorHAnsi"/>
                <w:sz w:val="22"/>
              </w:rPr>
            </w:pPr>
          </w:p>
        </w:tc>
      </w:tr>
      <w:tr w:rsidR="00ED34AE" w:rsidRPr="007A377E" w14:paraId="41DB6187" w14:textId="77777777" w:rsidTr="0025113D">
        <w:tc>
          <w:tcPr>
            <w:tcW w:w="4508" w:type="dxa"/>
          </w:tcPr>
          <w:p w14:paraId="1FE56A99" w14:textId="3FF60591" w:rsidR="00ED34AE" w:rsidRPr="00D651A8" w:rsidRDefault="00ED34AE" w:rsidP="00ED34AE">
            <w:pPr>
              <w:jc w:val="both"/>
              <w:rPr>
                <w:rFonts w:asciiTheme="minorHAnsi" w:hAnsiTheme="minorHAnsi" w:cstheme="minorHAnsi"/>
                <w:sz w:val="22"/>
                <w:lang w:val="fr-BE"/>
              </w:rPr>
            </w:pPr>
            <w:r w:rsidRPr="00D651A8">
              <w:rPr>
                <w:rFonts w:asciiTheme="minorHAnsi" w:hAnsiTheme="minorHAnsi" w:cstheme="minorHAnsi"/>
                <w:b/>
                <w:sz w:val="22"/>
                <w:lang w:val="fr-BE"/>
              </w:rPr>
              <w:t xml:space="preserve">§ </w:t>
            </w:r>
            <w:r w:rsidRPr="00D651A8">
              <w:rPr>
                <w:rFonts w:asciiTheme="minorHAnsi" w:hAnsiTheme="minorHAnsi" w:cstheme="minorHAnsi"/>
                <w:b/>
                <w:bCs/>
                <w:sz w:val="22"/>
                <w:lang w:val="fr-BE"/>
              </w:rPr>
              <w:t>2</w:t>
            </w:r>
            <w:r w:rsidRPr="00D651A8">
              <w:rPr>
                <w:rFonts w:asciiTheme="minorHAnsi" w:hAnsiTheme="minorHAnsi" w:cstheme="minorHAnsi"/>
                <w:b/>
                <w:sz w:val="22"/>
                <w:lang w:val="fr-BE"/>
              </w:rPr>
              <w:t>.</w:t>
            </w:r>
            <w:r w:rsidRPr="00D651A8">
              <w:rPr>
                <w:rFonts w:asciiTheme="minorHAnsi" w:hAnsiTheme="minorHAnsi" w:cstheme="minorHAnsi"/>
                <w:sz w:val="22"/>
                <w:lang w:val="fr-BE"/>
              </w:rPr>
              <w:t xml:space="preserve"> Pour les besoins de l’accomplissement de ses missions, un officier de police judiciaire de l’Institut peut exiger d’un opérateur, par écrit, de lui fournir les métadonnées  de communications électroniques autres que les données relatives  à l’abonné ou à l’utilisateur habituel du service, qui sont nécessaires afin de rechercher, de constater ou de poursuivre une infraction visée à l’article 145, § 3 ou § 3</w:t>
            </w:r>
            <w:r w:rsidRPr="00D651A8">
              <w:rPr>
                <w:rFonts w:asciiTheme="minorHAnsi" w:hAnsiTheme="minorHAnsi" w:cstheme="minorHAnsi"/>
                <w:i/>
                <w:iCs/>
                <w:sz w:val="22"/>
                <w:lang w:val="fr-BE"/>
              </w:rPr>
              <w:t>bis</w:t>
            </w:r>
            <w:r w:rsidRPr="00D651A8">
              <w:rPr>
                <w:rFonts w:asciiTheme="minorHAnsi" w:hAnsiTheme="minorHAnsi" w:cstheme="minorHAnsi"/>
                <w:sz w:val="22"/>
                <w:lang w:val="fr-BE"/>
              </w:rPr>
              <w:t>, de la loi du 13 juin 2005 relative aux communications électroniques ou à l’article 24, § 1</w:t>
            </w:r>
            <w:r w:rsidRPr="00D651A8">
              <w:rPr>
                <w:rFonts w:asciiTheme="minorHAnsi" w:hAnsiTheme="minorHAnsi" w:cstheme="minorHAnsi"/>
                <w:sz w:val="22"/>
                <w:vertAlign w:val="superscript"/>
                <w:lang w:val="fr-BE"/>
              </w:rPr>
              <w:t>er</w:t>
            </w:r>
            <w:r w:rsidRPr="00D651A8">
              <w:rPr>
                <w:rFonts w:asciiTheme="minorHAnsi" w:hAnsiTheme="minorHAnsi" w:cstheme="minorHAnsi"/>
                <w:sz w:val="22"/>
                <w:lang w:val="fr-BE"/>
              </w:rPr>
              <w:t xml:space="preserve">, 2°.   </w:t>
            </w:r>
          </w:p>
        </w:tc>
        <w:tc>
          <w:tcPr>
            <w:tcW w:w="4508" w:type="dxa"/>
          </w:tcPr>
          <w:p w14:paraId="3F3726E1" w14:textId="6EDF3BF7" w:rsidR="00ED34AE" w:rsidRPr="00D651A8" w:rsidRDefault="00ED34AE" w:rsidP="00ED34AE">
            <w:pPr>
              <w:jc w:val="both"/>
              <w:rPr>
                <w:rFonts w:asciiTheme="minorHAnsi" w:hAnsiTheme="minorHAnsi" w:cstheme="minorHAnsi"/>
                <w:sz w:val="22"/>
              </w:rPr>
            </w:pPr>
            <w:r w:rsidRPr="00D651A8">
              <w:rPr>
                <w:rFonts w:asciiTheme="minorHAnsi" w:hAnsiTheme="minorHAnsi" w:cstheme="minorHAnsi"/>
                <w:b/>
                <w:sz w:val="22"/>
              </w:rPr>
              <w:t xml:space="preserve">§ </w:t>
            </w:r>
            <w:r w:rsidRPr="00D651A8">
              <w:rPr>
                <w:rFonts w:asciiTheme="minorHAnsi" w:hAnsiTheme="minorHAnsi" w:cstheme="minorHAnsi"/>
                <w:b/>
                <w:bCs/>
                <w:sz w:val="22"/>
              </w:rPr>
              <w:t>2</w:t>
            </w:r>
            <w:r w:rsidRPr="00D651A8">
              <w:rPr>
                <w:rFonts w:asciiTheme="minorHAnsi" w:hAnsiTheme="minorHAnsi" w:cstheme="minorHAnsi"/>
                <w:b/>
                <w:sz w:val="22"/>
              </w:rPr>
              <w:t>.</w:t>
            </w:r>
            <w:r w:rsidRPr="00D651A8">
              <w:rPr>
                <w:rFonts w:asciiTheme="minorHAnsi" w:hAnsiTheme="minorHAnsi" w:cstheme="minorHAnsi"/>
                <w:sz w:val="22"/>
              </w:rPr>
              <w:t xml:space="preserve"> Ten behoeve van de vervulling van zijn opdrachten kan een officier van gerechtelijke politie van het Instituut van een operator schriftelijk eisen dat hij hem de andere elektronische-</w:t>
            </w:r>
            <w:proofErr w:type="spellStart"/>
            <w:r w:rsidRPr="00D651A8">
              <w:rPr>
                <w:rFonts w:asciiTheme="minorHAnsi" w:hAnsiTheme="minorHAnsi" w:cstheme="minorHAnsi"/>
                <w:sz w:val="22"/>
              </w:rPr>
              <w:t>communicatiemetagegevens</w:t>
            </w:r>
            <w:proofErr w:type="spellEnd"/>
            <w:r w:rsidRPr="00D651A8">
              <w:rPr>
                <w:rFonts w:asciiTheme="minorHAnsi" w:hAnsiTheme="minorHAnsi" w:cstheme="minorHAnsi"/>
                <w:sz w:val="22"/>
              </w:rPr>
              <w:t xml:space="preserve"> verstrekt dan de gegevens betreffende de abonnee of de gewoonlijke gebruiker van de dienst, die nodig zijn om een inbreuk bedoeld in artikel 145, § 3 of § 3</w:t>
            </w:r>
            <w:r w:rsidRPr="00D651A8">
              <w:rPr>
                <w:rFonts w:asciiTheme="minorHAnsi" w:hAnsiTheme="minorHAnsi" w:cstheme="minorHAnsi"/>
                <w:i/>
                <w:iCs/>
                <w:sz w:val="22"/>
              </w:rPr>
              <w:t>bis</w:t>
            </w:r>
            <w:r w:rsidRPr="00D651A8">
              <w:rPr>
                <w:rFonts w:asciiTheme="minorHAnsi" w:hAnsiTheme="minorHAnsi" w:cstheme="minorHAnsi"/>
                <w:sz w:val="22"/>
              </w:rPr>
              <w:t>, van de wet van 13 juni 2005 betreffende de elektronische communicatie of in artikel 24, § 1, 2°, te kunnen opsporen, vaststellen of vervolgen.</w:t>
            </w:r>
          </w:p>
        </w:tc>
      </w:tr>
      <w:tr w:rsidR="00ED34AE" w:rsidRPr="007A377E" w14:paraId="0EDDDEC4" w14:textId="77777777" w:rsidTr="0025113D">
        <w:tc>
          <w:tcPr>
            <w:tcW w:w="4508" w:type="dxa"/>
          </w:tcPr>
          <w:p w14:paraId="18393F14" w14:textId="77777777" w:rsidR="00ED34AE" w:rsidRPr="00D651A8" w:rsidRDefault="00ED34AE" w:rsidP="00ED34AE">
            <w:pPr>
              <w:jc w:val="both"/>
              <w:rPr>
                <w:rFonts w:asciiTheme="minorHAnsi" w:hAnsiTheme="minorHAnsi" w:cstheme="minorHAnsi"/>
                <w:sz w:val="22"/>
              </w:rPr>
            </w:pPr>
          </w:p>
        </w:tc>
        <w:tc>
          <w:tcPr>
            <w:tcW w:w="4508" w:type="dxa"/>
          </w:tcPr>
          <w:p w14:paraId="67359D3B" w14:textId="77777777" w:rsidR="00ED34AE" w:rsidRPr="00D651A8" w:rsidRDefault="00ED34AE" w:rsidP="00ED34AE">
            <w:pPr>
              <w:jc w:val="both"/>
              <w:rPr>
                <w:rFonts w:asciiTheme="minorHAnsi" w:hAnsiTheme="minorHAnsi" w:cstheme="minorHAnsi"/>
                <w:sz w:val="22"/>
              </w:rPr>
            </w:pPr>
          </w:p>
        </w:tc>
      </w:tr>
      <w:tr w:rsidR="00ED34AE" w:rsidRPr="007A377E" w14:paraId="118A1766" w14:textId="77777777" w:rsidTr="0025113D">
        <w:tc>
          <w:tcPr>
            <w:tcW w:w="4508" w:type="dxa"/>
          </w:tcPr>
          <w:p w14:paraId="6FE721B6" w14:textId="2F607529" w:rsidR="00ED34AE" w:rsidRPr="00D651A8" w:rsidRDefault="00ED34AE" w:rsidP="00ED34AE">
            <w:pPr>
              <w:jc w:val="both"/>
              <w:rPr>
                <w:rFonts w:asciiTheme="minorHAnsi" w:hAnsiTheme="minorHAnsi" w:cstheme="minorHAnsi"/>
                <w:sz w:val="22"/>
                <w:lang w:val="fr-BE"/>
              </w:rPr>
            </w:pPr>
            <w:r w:rsidRPr="00D651A8">
              <w:rPr>
                <w:rFonts w:asciiTheme="minorHAnsi" w:hAnsiTheme="minorHAnsi" w:cstheme="minorHAnsi"/>
                <w:sz w:val="22"/>
                <w:lang w:val="fr-BE"/>
              </w:rPr>
              <w:t xml:space="preserve">Sauf cas d’urgence dûment justifié, l’officier de police judiciaire ne peut adresser la demande à l’opérateur qu’après avoir soumis une demande écrite et motivée au juge d’instruction et après autorisation écrite de ce dernier. </w:t>
            </w:r>
          </w:p>
        </w:tc>
        <w:tc>
          <w:tcPr>
            <w:tcW w:w="4508" w:type="dxa"/>
          </w:tcPr>
          <w:p w14:paraId="1105408D" w14:textId="227B5F5E" w:rsidR="00ED34AE" w:rsidRPr="00D651A8" w:rsidRDefault="00ED34AE" w:rsidP="00ED34AE">
            <w:pPr>
              <w:jc w:val="both"/>
              <w:rPr>
                <w:rFonts w:asciiTheme="minorHAnsi" w:hAnsiTheme="minorHAnsi" w:cstheme="minorHAnsi"/>
                <w:sz w:val="22"/>
              </w:rPr>
            </w:pPr>
            <w:r w:rsidRPr="00D651A8">
              <w:rPr>
                <w:rFonts w:asciiTheme="minorHAnsi" w:hAnsiTheme="minorHAnsi" w:cstheme="minorHAnsi"/>
                <w:sz w:val="22"/>
              </w:rPr>
              <w:t>Tenzij in een naar behoren gerechtvaardigd noodgeval, mag de officier van gerechtelijke politie het verzoek aan de operator pas richten na het voorleggen van een schriftelijk en met redenen omkleed verzoek aan de onderzoeksrechter en na schriftelijke toestemming van deze laatste.</w:t>
            </w:r>
          </w:p>
        </w:tc>
      </w:tr>
      <w:tr w:rsidR="00ED34AE" w:rsidRPr="007A377E" w14:paraId="784FC278" w14:textId="77777777" w:rsidTr="0025113D">
        <w:tc>
          <w:tcPr>
            <w:tcW w:w="4508" w:type="dxa"/>
          </w:tcPr>
          <w:p w14:paraId="79B0640A" w14:textId="77777777" w:rsidR="00ED34AE" w:rsidRPr="00D651A8" w:rsidRDefault="00ED34AE" w:rsidP="00ED34AE">
            <w:pPr>
              <w:jc w:val="both"/>
              <w:rPr>
                <w:rFonts w:asciiTheme="minorHAnsi" w:hAnsiTheme="minorHAnsi" w:cstheme="minorHAnsi"/>
                <w:sz w:val="22"/>
              </w:rPr>
            </w:pPr>
          </w:p>
        </w:tc>
        <w:tc>
          <w:tcPr>
            <w:tcW w:w="4508" w:type="dxa"/>
          </w:tcPr>
          <w:p w14:paraId="7EFAD87A" w14:textId="77777777" w:rsidR="00ED34AE" w:rsidRPr="00D651A8" w:rsidRDefault="00ED34AE" w:rsidP="00ED34AE">
            <w:pPr>
              <w:jc w:val="both"/>
              <w:rPr>
                <w:rFonts w:asciiTheme="minorHAnsi" w:hAnsiTheme="minorHAnsi" w:cstheme="minorHAnsi"/>
                <w:sz w:val="22"/>
              </w:rPr>
            </w:pPr>
          </w:p>
        </w:tc>
      </w:tr>
      <w:tr w:rsidR="00ED34AE" w:rsidRPr="007A377E" w14:paraId="38A01D40" w14:textId="77777777" w:rsidTr="0025113D">
        <w:tc>
          <w:tcPr>
            <w:tcW w:w="4508" w:type="dxa"/>
          </w:tcPr>
          <w:p w14:paraId="26E46311" w14:textId="11102734" w:rsidR="00ED34AE" w:rsidRPr="00D651A8" w:rsidRDefault="00ED34AE" w:rsidP="00ED34AE">
            <w:pPr>
              <w:jc w:val="both"/>
              <w:rPr>
                <w:rFonts w:asciiTheme="minorHAnsi" w:hAnsiTheme="minorHAnsi" w:cstheme="minorHAnsi"/>
                <w:sz w:val="22"/>
              </w:rPr>
            </w:pPr>
            <w:bookmarkStart w:id="23" w:name="_Hlk96326772"/>
            <w:r w:rsidRPr="00D651A8">
              <w:rPr>
                <w:rFonts w:asciiTheme="minorHAnsi" w:hAnsiTheme="minorHAnsi" w:cstheme="minorHAnsi"/>
                <w:sz w:val="22"/>
                <w:lang w:val="fr-BE"/>
              </w:rPr>
              <w:t xml:space="preserve">En cas d’urgence dûment justifiée visée à l’alinéa 2, l’officier de police judiciaire de l’Institut communique au juge d’instruction, sans délai après l’envoi de la demande à l’opérateur, une copie de cette demande, la motivation de la demande et la justification de l’urgence. </w:t>
            </w:r>
            <w:proofErr w:type="spellStart"/>
            <w:r w:rsidRPr="00D651A8">
              <w:rPr>
                <w:rFonts w:asciiTheme="minorHAnsi" w:hAnsiTheme="minorHAnsi" w:cstheme="minorHAnsi"/>
                <w:sz w:val="22"/>
              </w:rPr>
              <w:t>Un</w:t>
            </w:r>
            <w:proofErr w:type="spellEnd"/>
            <w:r w:rsidRPr="00D651A8">
              <w:rPr>
                <w:rFonts w:asciiTheme="minorHAnsi" w:hAnsiTheme="minorHAnsi" w:cstheme="minorHAnsi"/>
                <w:sz w:val="22"/>
              </w:rPr>
              <w:t xml:space="preserve"> </w:t>
            </w:r>
            <w:proofErr w:type="spellStart"/>
            <w:r w:rsidRPr="00D651A8">
              <w:rPr>
                <w:rFonts w:asciiTheme="minorHAnsi" w:hAnsiTheme="minorHAnsi" w:cstheme="minorHAnsi"/>
                <w:sz w:val="22"/>
              </w:rPr>
              <w:t>contrôle</w:t>
            </w:r>
            <w:proofErr w:type="spellEnd"/>
            <w:r w:rsidRPr="00D651A8">
              <w:rPr>
                <w:rFonts w:asciiTheme="minorHAnsi" w:hAnsiTheme="minorHAnsi" w:cstheme="minorHAnsi"/>
                <w:sz w:val="22"/>
              </w:rPr>
              <w:t xml:space="preserve"> ultérieur </w:t>
            </w:r>
            <w:proofErr w:type="spellStart"/>
            <w:r w:rsidRPr="00D651A8">
              <w:rPr>
                <w:rFonts w:asciiTheme="minorHAnsi" w:hAnsiTheme="minorHAnsi" w:cstheme="minorHAnsi"/>
                <w:sz w:val="22"/>
              </w:rPr>
              <w:t>est</w:t>
            </w:r>
            <w:proofErr w:type="spellEnd"/>
            <w:r w:rsidRPr="00D651A8">
              <w:rPr>
                <w:rFonts w:asciiTheme="minorHAnsi" w:hAnsiTheme="minorHAnsi" w:cstheme="minorHAnsi"/>
                <w:sz w:val="22"/>
              </w:rPr>
              <w:t xml:space="preserve"> </w:t>
            </w:r>
            <w:proofErr w:type="spellStart"/>
            <w:r w:rsidRPr="00D651A8">
              <w:rPr>
                <w:rFonts w:asciiTheme="minorHAnsi" w:hAnsiTheme="minorHAnsi" w:cstheme="minorHAnsi"/>
                <w:sz w:val="22"/>
              </w:rPr>
              <w:t>effectué</w:t>
            </w:r>
            <w:proofErr w:type="spellEnd"/>
            <w:r w:rsidRPr="00D651A8">
              <w:rPr>
                <w:rFonts w:asciiTheme="minorHAnsi" w:hAnsiTheme="minorHAnsi" w:cstheme="minorHAnsi"/>
                <w:sz w:val="22"/>
              </w:rPr>
              <w:t xml:space="preserve"> par </w:t>
            </w:r>
            <w:proofErr w:type="spellStart"/>
            <w:r w:rsidRPr="00D651A8">
              <w:rPr>
                <w:rFonts w:asciiTheme="minorHAnsi" w:hAnsiTheme="minorHAnsi" w:cstheme="minorHAnsi"/>
                <w:sz w:val="22"/>
              </w:rPr>
              <w:t>le</w:t>
            </w:r>
            <w:proofErr w:type="spellEnd"/>
            <w:r w:rsidRPr="00D651A8">
              <w:rPr>
                <w:rFonts w:asciiTheme="minorHAnsi" w:hAnsiTheme="minorHAnsi" w:cstheme="minorHAnsi"/>
                <w:sz w:val="22"/>
              </w:rPr>
              <w:t xml:space="preserve"> </w:t>
            </w:r>
            <w:proofErr w:type="spellStart"/>
            <w:r w:rsidRPr="00D651A8">
              <w:rPr>
                <w:rFonts w:asciiTheme="minorHAnsi" w:hAnsiTheme="minorHAnsi" w:cstheme="minorHAnsi"/>
                <w:sz w:val="22"/>
              </w:rPr>
              <w:t>juge</w:t>
            </w:r>
            <w:proofErr w:type="spellEnd"/>
            <w:r w:rsidRPr="00D651A8">
              <w:rPr>
                <w:rFonts w:asciiTheme="minorHAnsi" w:hAnsiTheme="minorHAnsi" w:cstheme="minorHAnsi"/>
                <w:sz w:val="22"/>
              </w:rPr>
              <w:t xml:space="preserve"> </w:t>
            </w:r>
            <w:proofErr w:type="spellStart"/>
            <w:r w:rsidRPr="00D651A8">
              <w:rPr>
                <w:rFonts w:asciiTheme="minorHAnsi" w:hAnsiTheme="minorHAnsi" w:cstheme="minorHAnsi"/>
                <w:sz w:val="22"/>
              </w:rPr>
              <w:t>d’instruction</w:t>
            </w:r>
            <w:bookmarkEnd w:id="23"/>
            <w:proofErr w:type="spellEnd"/>
            <w:r w:rsidRPr="00D651A8">
              <w:rPr>
                <w:rFonts w:asciiTheme="minorHAnsi" w:hAnsiTheme="minorHAnsi" w:cstheme="minorHAnsi"/>
                <w:sz w:val="22"/>
              </w:rPr>
              <w:t xml:space="preserve">. </w:t>
            </w:r>
          </w:p>
        </w:tc>
        <w:tc>
          <w:tcPr>
            <w:tcW w:w="4508" w:type="dxa"/>
          </w:tcPr>
          <w:p w14:paraId="22B94531" w14:textId="33BCA52C" w:rsidR="00ED34AE" w:rsidRPr="00D651A8" w:rsidRDefault="00ED34AE" w:rsidP="00ED34AE">
            <w:pPr>
              <w:jc w:val="both"/>
              <w:rPr>
                <w:rFonts w:asciiTheme="minorHAnsi" w:hAnsiTheme="minorHAnsi" w:cstheme="minorHAnsi"/>
                <w:sz w:val="22"/>
              </w:rPr>
            </w:pPr>
            <w:r w:rsidRPr="00D651A8">
              <w:rPr>
                <w:rFonts w:asciiTheme="minorHAnsi" w:hAnsiTheme="minorHAnsi" w:cstheme="minorHAnsi"/>
                <w:sz w:val="22"/>
              </w:rPr>
              <w:t xml:space="preserve">In een naar behoren gerechtvaardigd noodgeval zoals bedoeld in het tweede lid, deelt de officier van gerechtelijke politie van het Instituut na de verzending van het verzoek naar de operator onverwijld een kopie van dit verzoek, de motivering van het verzoek alsook de rechtvaardiging van de hoogdringendheid mee aan de onderzoeksrechter. De onderzoeksrechter voert daarna een controle uit. </w:t>
            </w:r>
          </w:p>
        </w:tc>
      </w:tr>
      <w:tr w:rsidR="00ED34AE" w:rsidRPr="007A377E" w14:paraId="275A804D" w14:textId="77777777" w:rsidTr="0025113D">
        <w:tc>
          <w:tcPr>
            <w:tcW w:w="4508" w:type="dxa"/>
          </w:tcPr>
          <w:p w14:paraId="54CA53C6" w14:textId="77777777" w:rsidR="00ED34AE" w:rsidRPr="00D651A8" w:rsidRDefault="00ED34AE" w:rsidP="00ED34AE">
            <w:pPr>
              <w:jc w:val="both"/>
              <w:rPr>
                <w:rFonts w:asciiTheme="minorHAnsi" w:hAnsiTheme="minorHAnsi" w:cstheme="minorHAnsi"/>
                <w:sz w:val="22"/>
              </w:rPr>
            </w:pPr>
          </w:p>
        </w:tc>
        <w:tc>
          <w:tcPr>
            <w:tcW w:w="4508" w:type="dxa"/>
          </w:tcPr>
          <w:p w14:paraId="70FCA533" w14:textId="77777777" w:rsidR="00ED34AE" w:rsidRPr="00D651A8" w:rsidRDefault="00ED34AE" w:rsidP="00ED34AE">
            <w:pPr>
              <w:jc w:val="both"/>
              <w:rPr>
                <w:rFonts w:asciiTheme="minorHAnsi" w:hAnsiTheme="minorHAnsi" w:cstheme="minorHAnsi"/>
                <w:sz w:val="22"/>
              </w:rPr>
            </w:pPr>
          </w:p>
        </w:tc>
      </w:tr>
      <w:tr w:rsidR="00ED34AE" w:rsidRPr="007A377E" w14:paraId="4C121027" w14:textId="77777777" w:rsidTr="0025113D">
        <w:tc>
          <w:tcPr>
            <w:tcW w:w="4508" w:type="dxa"/>
          </w:tcPr>
          <w:p w14:paraId="55F8DDAB" w14:textId="6719540F" w:rsidR="00ED34AE" w:rsidRPr="00D651A8" w:rsidRDefault="00ED34AE" w:rsidP="00ED34AE">
            <w:pPr>
              <w:jc w:val="both"/>
              <w:rPr>
                <w:rFonts w:asciiTheme="minorHAnsi" w:hAnsiTheme="minorHAnsi" w:cstheme="minorHAnsi"/>
                <w:sz w:val="22"/>
                <w:lang w:val="fr-BE"/>
              </w:rPr>
            </w:pPr>
            <w:r w:rsidRPr="00D651A8">
              <w:rPr>
                <w:rFonts w:asciiTheme="minorHAnsi" w:hAnsiTheme="minorHAnsi" w:cstheme="minorHAnsi"/>
                <w:b/>
                <w:sz w:val="22"/>
                <w:lang w:val="fr-BE"/>
              </w:rPr>
              <w:t xml:space="preserve">§ </w:t>
            </w:r>
            <w:r w:rsidRPr="00D651A8">
              <w:rPr>
                <w:rFonts w:asciiTheme="minorHAnsi" w:hAnsiTheme="minorHAnsi" w:cstheme="minorHAnsi"/>
                <w:b/>
                <w:bCs/>
                <w:sz w:val="22"/>
                <w:lang w:val="fr-BE"/>
              </w:rPr>
              <w:t>3</w:t>
            </w:r>
            <w:r w:rsidRPr="00D651A8">
              <w:rPr>
                <w:rFonts w:asciiTheme="minorHAnsi" w:hAnsiTheme="minorHAnsi" w:cstheme="minorHAnsi"/>
                <w:b/>
                <w:sz w:val="22"/>
                <w:lang w:val="fr-BE"/>
              </w:rPr>
              <w:t>.</w:t>
            </w:r>
            <w:r w:rsidRPr="00D651A8">
              <w:rPr>
                <w:rFonts w:asciiTheme="minorHAnsi" w:hAnsiTheme="minorHAnsi" w:cstheme="minorHAnsi"/>
                <w:sz w:val="22"/>
                <w:lang w:val="fr-BE"/>
              </w:rPr>
              <w:t xml:space="preserve"> </w:t>
            </w:r>
            <w:bookmarkStart w:id="24" w:name="_Hlk96327846"/>
            <w:r w:rsidRPr="00D651A8">
              <w:rPr>
                <w:rFonts w:asciiTheme="minorHAnsi" w:hAnsiTheme="minorHAnsi" w:cstheme="minorHAnsi"/>
                <w:sz w:val="22"/>
                <w:lang w:val="fr-BE"/>
              </w:rPr>
              <w:t>Par dérogation aux paragraphes 1 et 2, afin de contrôler le respect des articles 126, 126/1, 126/2 et 127 de la loi du 13 juin 2005 relative aux communications électroniques et de leurs arrêtés d’exécution et à la demande écrite et motivée d’un officier de police judiciaire de l’Institut, un opérateur fournit, dans le délai fixé dans le réquisitoire, un accès permettant de consulter ses bases de données qui mettent en œuvre un de ces articles ou un de ces arrêtés d’exécution.</w:t>
            </w:r>
            <w:bookmarkEnd w:id="24"/>
          </w:p>
        </w:tc>
        <w:tc>
          <w:tcPr>
            <w:tcW w:w="4508" w:type="dxa"/>
          </w:tcPr>
          <w:p w14:paraId="475CBED7" w14:textId="51BAC3CD" w:rsidR="00ED34AE" w:rsidRPr="00D651A8" w:rsidRDefault="00ED34AE" w:rsidP="00ED34AE">
            <w:pPr>
              <w:jc w:val="both"/>
              <w:rPr>
                <w:rFonts w:asciiTheme="minorHAnsi" w:hAnsiTheme="minorHAnsi" w:cstheme="minorHAnsi"/>
                <w:sz w:val="22"/>
              </w:rPr>
            </w:pPr>
            <w:r w:rsidRPr="00D651A8">
              <w:rPr>
                <w:rFonts w:asciiTheme="minorHAnsi" w:hAnsiTheme="minorHAnsi" w:cstheme="minorHAnsi"/>
                <w:b/>
                <w:bCs/>
                <w:sz w:val="22"/>
              </w:rPr>
              <w:t>§ 3</w:t>
            </w:r>
            <w:r w:rsidRPr="00D651A8">
              <w:rPr>
                <w:rFonts w:asciiTheme="minorHAnsi" w:hAnsiTheme="minorHAnsi" w:cstheme="minorHAnsi"/>
                <w:sz w:val="22"/>
              </w:rPr>
              <w:t>. In afwijking van de paragrafen 1 en 2, teneinde de naleving te controleren van de artikelen 126, 126/1, 126/2 en 127 van de wet van 13 juni 2005 betreffende de elektronische communicatie en van de uitvoeringsbesluiten ervan en op schriftelijk en met redenen omkleed verzoek van een officier van gerechtelijke politie van het Instituut, verleent een operator binnen de termijn die vastgesteld is in de vordering toegang zodat zijn databanken kunnen worden geraadpleegd die een van deze artikelen of een van deze uitvoeringsbesluiten uitvoeren.</w:t>
            </w:r>
          </w:p>
        </w:tc>
      </w:tr>
      <w:tr w:rsidR="00ED34AE" w:rsidRPr="007A377E" w14:paraId="32B22E51" w14:textId="77777777" w:rsidTr="0025113D">
        <w:tc>
          <w:tcPr>
            <w:tcW w:w="4508" w:type="dxa"/>
          </w:tcPr>
          <w:p w14:paraId="6C027E09" w14:textId="77777777" w:rsidR="00ED34AE" w:rsidRPr="00D651A8" w:rsidRDefault="00ED34AE" w:rsidP="00ED34AE">
            <w:pPr>
              <w:jc w:val="both"/>
              <w:rPr>
                <w:rFonts w:asciiTheme="minorHAnsi" w:hAnsiTheme="minorHAnsi" w:cstheme="minorHAnsi"/>
                <w:sz w:val="22"/>
              </w:rPr>
            </w:pPr>
          </w:p>
        </w:tc>
        <w:tc>
          <w:tcPr>
            <w:tcW w:w="4508" w:type="dxa"/>
          </w:tcPr>
          <w:p w14:paraId="36A9FF41" w14:textId="77777777" w:rsidR="00ED34AE" w:rsidRPr="00D651A8" w:rsidRDefault="00ED34AE" w:rsidP="00ED34AE">
            <w:pPr>
              <w:jc w:val="both"/>
              <w:rPr>
                <w:rFonts w:asciiTheme="minorHAnsi" w:hAnsiTheme="minorHAnsi" w:cstheme="minorHAnsi"/>
                <w:sz w:val="22"/>
              </w:rPr>
            </w:pPr>
          </w:p>
        </w:tc>
      </w:tr>
      <w:tr w:rsidR="00ED34AE" w:rsidRPr="007A377E" w14:paraId="7BB15570" w14:textId="77777777" w:rsidTr="0025113D">
        <w:tc>
          <w:tcPr>
            <w:tcW w:w="4508" w:type="dxa"/>
          </w:tcPr>
          <w:p w14:paraId="18A43F18" w14:textId="74214EA9" w:rsidR="00ED34AE" w:rsidRPr="00D651A8" w:rsidRDefault="00ED34AE" w:rsidP="00ED34AE">
            <w:pPr>
              <w:jc w:val="both"/>
              <w:rPr>
                <w:rFonts w:asciiTheme="minorHAnsi" w:hAnsiTheme="minorHAnsi" w:cstheme="minorHAnsi"/>
                <w:sz w:val="22"/>
                <w:lang w:val="fr-BE"/>
              </w:rPr>
            </w:pPr>
            <w:r w:rsidRPr="00D651A8">
              <w:rPr>
                <w:rFonts w:asciiTheme="minorHAnsi" w:hAnsiTheme="minorHAnsi" w:cstheme="minorHAnsi"/>
                <w:sz w:val="22"/>
                <w:lang w:val="fr-BE"/>
              </w:rPr>
              <w:t>Une demande visée à l’alinéa 1</w:t>
            </w:r>
            <w:r w:rsidRPr="00D651A8">
              <w:rPr>
                <w:rFonts w:asciiTheme="minorHAnsi" w:hAnsiTheme="minorHAnsi" w:cstheme="minorHAnsi"/>
                <w:sz w:val="22"/>
                <w:vertAlign w:val="superscript"/>
                <w:lang w:val="fr-BE"/>
              </w:rPr>
              <w:t>er</w:t>
            </w:r>
            <w:r w:rsidRPr="00D651A8">
              <w:rPr>
                <w:rFonts w:asciiTheme="minorHAnsi" w:hAnsiTheme="minorHAnsi" w:cstheme="minorHAnsi"/>
                <w:sz w:val="22"/>
                <w:lang w:val="fr-BE"/>
              </w:rPr>
              <w:t xml:space="preserve"> ne peut être transmise à un opérateur qu’après autorisation écrite d’un officier de police judiciaire visé à l’article 24, paragraphe 2. Cette autorisation ne peut être octroyée que sur demande écrite et motivée conformément au § 5.</w:t>
            </w:r>
          </w:p>
        </w:tc>
        <w:tc>
          <w:tcPr>
            <w:tcW w:w="4508" w:type="dxa"/>
          </w:tcPr>
          <w:p w14:paraId="7015497E" w14:textId="3CD38C73" w:rsidR="00ED34AE" w:rsidRPr="00D651A8" w:rsidRDefault="00ED34AE" w:rsidP="00ED34AE">
            <w:pPr>
              <w:jc w:val="both"/>
              <w:rPr>
                <w:rFonts w:asciiTheme="minorHAnsi" w:hAnsiTheme="minorHAnsi" w:cstheme="minorHAnsi"/>
                <w:sz w:val="22"/>
              </w:rPr>
            </w:pPr>
            <w:r w:rsidRPr="00D651A8">
              <w:rPr>
                <w:rFonts w:asciiTheme="minorHAnsi" w:hAnsiTheme="minorHAnsi" w:cstheme="minorHAnsi"/>
                <w:sz w:val="22"/>
              </w:rPr>
              <w:t>Een in het eerste lid bedoeld verzoek mag naar een operator pas worden doorgestuurd na de schriftelijke toestemming van een in artikel 24, paragraaf 2 bedoelde officier van gerechtelijke politie. Deze toestemming mag maar worden verleend op schriftelijk en met redenen omkleed verzoek overeenkomstig § 5.</w:t>
            </w:r>
          </w:p>
        </w:tc>
      </w:tr>
      <w:tr w:rsidR="00ED34AE" w:rsidRPr="007A377E" w14:paraId="5BAD88CC" w14:textId="77777777" w:rsidTr="0025113D">
        <w:tc>
          <w:tcPr>
            <w:tcW w:w="4508" w:type="dxa"/>
          </w:tcPr>
          <w:p w14:paraId="5D27B4D4" w14:textId="77777777" w:rsidR="00ED34AE" w:rsidRPr="00D651A8" w:rsidRDefault="00ED34AE" w:rsidP="00ED34AE">
            <w:pPr>
              <w:jc w:val="both"/>
              <w:rPr>
                <w:rFonts w:asciiTheme="minorHAnsi" w:hAnsiTheme="minorHAnsi" w:cstheme="minorHAnsi"/>
                <w:sz w:val="22"/>
              </w:rPr>
            </w:pPr>
          </w:p>
        </w:tc>
        <w:tc>
          <w:tcPr>
            <w:tcW w:w="4508" w:type="dxa"/>
          </w:tcPr>
          <w:p w14:paraId="57510EB1" w14:textId="77777777" w:rsidR="00ED34AE" w:rsidRPr="00D651A8" w:rsidRDefault="00ED34AE" w:rsidP="00ED34AE">
            <w:pPr>
              <w:jc w:val="both"/>
              <w:rPr>
                <w:rFonts w:asciiTheme="minorHAnsi" w:hAnsiTheme="minorHAnsi" w:cstheme="minorHAnsi"/>
                <w:sz w:val="22"/>
              </w:rPr>
            </w:pPr>
          </w:p>
        </w:tc>
      </w:tr>
      <w:tr w:rsidR="00ED34AE" w:rsidRPr="007A377E" w14:paraId="69C2ACCA" w14:textId="77777777" w:rsidTr="0025113D">
        <w:tc>
          <w:tcPr>
            <w:tcW w:w="4508" w:type="dxa"/>
          </w:tcPr>
          <w:p w14:paraId="2B65D48D" w14:textId="1ABFF6B7" w:rsidR="00ED34AE" w:rsidRPr="00D651A8" w:rsidRDefault="00ED34AE" w:rsidP="00ED34AE">
            <w:pPr>
              <w:jc w:val="both"/>
              <w:rPr>
                <w:rFonts w:asciiTheme="minorHAnsi" w:hAnsiTheme="minorHAnsi" w:cstheme="minorHAnsi"/>
                <w:sz w:val="22"/>
                <w:lang w:val="fr-BE"/>
              </w:rPr>
            </w:pPr>
            <w:r w:rsidRPr="00D651A8">
              <w:rPr>
                <w:rFonts w:asciiTheme="minorHAnsi" w:hAnsiTheme="minorHAnsi" w:cstheme="minorHAnsi"/>
                <w:sz w:val="22"/>
                <w:lang w:val="fr-BE"/>
              </w:rPr>
              <w:t xml:space="preserve">La demande adressée à l’opérateur précise les noms des officiers de police judiciaire de l’Institut qui peuvent consulter la base de données. </w:t>
            </w:r>
          </w:p>
        </w:tc>
        <w:tc>
          <w:tcPr>
            <w:tcW w:w="4508" w:type="dxa"/>
          </w:tcPr>
          <w:p w14:paraId="7C97E1E9" w14:textId="2610D14E" w:rsidR="00ED34AE" w:rsidRPr="00D651A8" w:rsidRDefault="00ED34AE" w:rsidP="00ED34AE">
            <w:pPr>
              <w:jc w:val="both"/>
              <w:rPr>
                <w:rFonts w:asciiTheme="minorHAnsi" w:hAnsiTheme="minorHAnsi" w:cstheme="minorHAnsi"/>
                <w:sz w:val="22"/>
              </w:rPr>
            </w:pPr>
            <w:r w:rsidRPr="00D651A8">
              <w:rPr>
                <w:rFonts w:asciiTheme="minorHAnsi" w:hAnsiTheme="minorHAnsi" w:cstheme="minorHAnsi"/>
                <w:sz w:val="22"/>
              </w:rPr>
              <w:t xml:space="preserve">Het aan de operator gerichte verzoek vermeldt nauwkeurig de naam van de </w:t>
            </w:r>
            <w:r w:rsidR="00D72BC2" w:rsidRPr="00D651A8">
              <w:rPr>
                <w:rFonts w:asciiTheme="minorHAnsi" w:hAnsiTheme="minorHAnsi" w:cstheme="minorHAnsi"/>
                <w:sz w:val="22"/>
              </w:rPr>
              <w:t>officier</w:t>
            </w:r>
            <w:r w:rsidR="00D72BC2">
              <w:rPr>
                <w:rFonts w:asciiTheme="minorHAnsi" w:hAnsiTheme="minorHAnsi" w:cstheme="minorHAnsi"/>
                <w:sz w:val="22"/>
              </w:rPr>
              <w:t>en</w:t>
            </w:r>
            <w:r w:rsidR="00D72BC2" w:rsidRPr="00D651A8">
              <w:rPr>
                <w:rFonts w:asciiTheme="minorHAnsi" w:hAnsiTheme="minorHAnsi" w:cstheme="minorHAnsi"/>
                <w:sz w:val="22"/>
              </w:rPr>
              <w:t xml:space="preserve"> </w:t>
            </w:r>
            <w:r w:rsidRPr="00D651A8">
              <w:rPr>
                <w:rFonts w:asciiTheme="minorHAnsi" w:hAnsiTheme="minorHAnsi" w:cstheme="minorHAnsi"/>
                <w:sz w:val="22"/>
              </w:rPr>
              <w:t>van gerechtelijke politie van het Instituut die de databank kunnen raadplegen.</w:t>
            </w:r>
          </w:p>
        </w:tc>
      </w:tr>
      <w:tr w:rsidR="00ED34AE" w:rsidRPr="007A377E" w14:paraId="1953ABF7" w14:textId="77777777" w:rsidTr="0025113D">
        <w:tc>
          <w:tcPr>
            <w:tcW w:w="4508" w:type="dxa"/>
          </w:tcPr>
          <w:p w14:paraId="45EA221D" w14:textId="77777777" w:rsidR="00ED34AE" w:rsidRPr="00D651A8" w:rsidRDefault="00ED34AE" w:rsidP="00ED34AE">
            <w:pPr>
              <w:jc w:val="both"/>
              <w:rPr>
                <w:rFonts w:asciiTheme="minorHAnsi" w:hAnsiTheme="minorHAnsi" w:cstheme="minorHAnsi"/>
                <w:sz w:val="22"/>
              </w:rPr>
            </w:pPr>
          </w:p>
        </w:tc>
        <w:tc>
          <w:tcPr>
            <w:tcW w:w="4508" w:type="dxa"/>
          </w:tcPr>
          <w:p w14:paraId="422B7C7D" w14:textId="77777777" w:rsidR="00ED34AE" w:rsidRPr="00D651A8" w:rsidRDefault="00ED34AE" w:rsidP="00ED34AE">
            <w:pPr>
              <w:jc w:val="both"/>
              <w:rPr>
                <w:rFonts w:asciiTheme="minorHAnsi" w:hAnsiTheme="minorHAnsi" w:cstheme="minorHAnsi"/>
                <w:sz w:val="22"/>
              </w:rPr>
            </w:pPr>
          </w:p>
        </w:tc>
      </w:tr>
      <w:tr w:rsidR="00ED34AE" w:rsidRPr="007A377E" w14:paraId="6A2A2ED8" w14:textId="77777777" w:rsidTr="0025113D">
        <w:tc>
          <w:tcPr>
            <w:tcW w:w="4508" w:type="dxa"/>
          </w:tcPr>
          <w:p w14:paraId="39F8F36E" w14:textId="3181087F" w:rsidR="00ED34AE" w:rsidRPr="00D651A8" w:rsidRDefault="00ED34AE" w:rsidP="00ED34AE">
            <w:pPr>
              <w:jc w:val="both"/>
              <w:rPr>
                <w:rFonts w:asciiTheme="minorHAnsi" w:hAnsiTheme="minorHAnsi" w:cstheme="minorHAnsi"/>
                <w:sz w:val="22"/>
                <w:lang w:val="fr-BE"/>
              </w:rPr>
            </w:pPr>
            <w:r w:rsidRPr="00D651A8">
              <w:rPr>
                <w:rFonts w:asciiTheme="minorHAnsi" w:hAnsiTheme="minorHAnsi" w:cstheme="minorHAnsi"/>
                <w:sz w:val="22"/>
                <w:lang w:val="fr-BE"/>
              </w:rPr>
              <w:t>Ces officiers ne peuvent prendre une copie des données et documents consultés dans le cadre de l’alinéa 1</w:t>
            </w:r>
            <w:r w:rsidRPr="00D651A8">
              <w:rPr>
                <w:rFonts w:asciiTheme="minorHAnsi" w:hAnsiTheme="minorHAnsi" w:cstheme="minorHAnsi"/>
                <w:sz w:val="22"/>
                <w:vertAlign w:val="superscript"/>
                <w:lang w:val="fr-BE"/>
              </w:rPr>
              <w:t>er</w:t>
            </w:r>
            <w:r w:rsidRPr="00D651A8">
              <w:rPr>
                <w:rFonts w:asciiTheme="minorHAnsi" w:hAnsiTheme="minorHAnsi" w:cstheme="minorHAnsi"/>
                <w:sz w:val="22"/>
                <w:lang w:val="fr-BE"/>
              </w:rPr>
              <w:t xml:space="preserve"> que dans le but de constater des infractions commises par l’opérateur.</w:t>
            </w:r>
          </w:p>
        </w:tc>
        <w:tc>
          <w:tcPr>
            <w:tcW w:w="4508" w:type="dxa"/>
          </w:tcPr>
          <w:p w14:paraId="1E9F8E7E" w14:textId="3E2FB17A" w:rsidR="00ED34AE" w:rsidRPr="00D651A8" w:rsidRDefault="00ED34AE" w:rsidP="00ED34AE">
            <w:pPr>
              <w:jc w:val="both"/>
              <w:rPr>
                <w:rFonts w:asciiTheme="minorHAnsi" w:hAnsiTheme="minorHAnsi" w:cstheme="minorHAnsi"/>
                <w:sz w:val="22"/>
              </w:rPr>
            </w:pPr>
            <w:r w:rsidRPr="00D651A8">
              <w:rPr>
                <w:rFonts w:asciiTheme="minorHAnsi" w:hAnsiTheme="minorHAnsi" w:cstheme="minorHAnsi"/>
                <w:sz w:val="22"/>
              </w:rPr>
              <w:t>Deze officieren mogen enkel om inbreuken gepleegd door de operator vast te stellen, een kopie nemen van de gegevens en documenten die worden geraadpleegd in het kader van het eerste lid.</w:t>
            </w:r>
          </w:p>
        </w:tc>
      </w:tr>
      <w:tr w:rsidR="00ED34AE" w:rsidRPr="007A377E" w14:paraId="1ED91DA9" w14:textId="77777777" w:rsidTr="0025113D">
        <w:tc>
          <w:tcPr>
            <w:tcW w:w="4508" w:type="dxa"/>
          </w:tcPr>
          <w:p w14:paraId="6F5401B6" w14:textId="77777777" w:rsidR="00ED34AE" w:rsidRPr="00D651A8" w:rsidRDefault="00ED34AE" w:rsidP="00ED34AE">
            <w:pPr>
              <w:jc w:val="both"/>
              <w:rPr>
                <w:rFonts w:asciiTheme="minorHAnsi" w:hAnsiTheme="minorHAnsi" w:cstheme="minorHAnsi"/>
                <w:sz w:val="22"/>
              </w:rPr>
            </w:pPr>
          </w:p>
        </w:tc>
        <w:tc>
          <w:tcPr>
            <w:tcW w:w="4508" w:type="dxa"/>
          </w:tcPr>
          <w:p w14:paraId="04D29CE1" w14:textId="77777777" w:rsidR="00ED34AE" w:rsidRPr="00D651A8" w:rsidRDefault="00ED34AE" w:rsidP="00ED34AE">
            <w:pPr>
              <w:jc w:val="both"/>
              <w:rPr>
                <w:rFonts w:asciiTheme="minorHAnsi" w:hAnsiTheme="minorHAnsi" w:cstheme="minorHAnsi"/>
                <w:sz w:val="22"/>
              </w:rPr>
            </w:pPr>
          </w:p>
        </w:tc>
      </w:tr>
      <w:tr w:rsidR="00ED34AE" w:rsidRPr="007A377E" w14:paraId="6A1F50E0" w14:textId="77777777" w:rsidTr="0025113D">
        <w:tc>
          <w:tcPr>
            <w:tcW w:w="4508" w:type="dxa"/>
          </w:tcPr>
          <w:p w14:paraId="5C85991C" w14:textId="73CEDBA7" w:rsidR="00ED34AE" w:rsidRPr="00D651A8" w:rsidRDefault="00ED34AE" w:rsidP="00ED34AE">
            <w:pPr>
              <w:jc w:val="both"/>
              <w:rPr>
                <w:rFonts w:asciiTheme="minorHAnsi" w:hAnsiTheme="minorHAnsi" w:cstheme="minorHAnsi"/>
                <w:sz w:val="22"/>
                <w:lang w:val="fr-BE"/>
              </w:rPr>
            </w:pPr>
            <w:r w:rsidRPr="00D651A8">
              <w:rPr>
                <w:rFonts w:asciiTheme="minorHAnsi" w:eastAsia="Times New Roman" w:hAnsiTheme="minorHAnsi" w:cstheme="minorHAnsi"/>
                <w:b/>
                <w:sz w:val="22"/>
                <w:lang w:val="fr-FR" w:eastAsia="fr-FR"/>
              </w:rPr>
              <w:t>§ 4.</w:t>
            </w:r>
            <w:r w:rsidRPr="00D651A8">
              <w:rPr>
                <w:rFonts w:asciiTheme="minorHAnsi" w:eastAsia="Times New Roman" w:hAnsiTheme="minorHAnsi" w:cstheme="minorHAnsi"/>
                <w:bCs/>
                <w:sz w:val="22"/>
                <w:lang w:val="fr-FR" w:eastAsia="fr-FR"/>
              </w:rPr>
              <w:t xml:space="preserve"> </w:t>
            </w:r>
            <w:bookmarkStart w:id="25" w:name="_Hlk96328424"/>
            <w:r w:rsidRPr="00D651A8">
              <w:rPr>
                <w:rFonts w:asciiTheme="minorHAnsi" w:eastAsia="Times New Roman" w:hAnsiTheme="minorHAnsi" w:cstheme="minorHAnsi"/>
                <w:bCs/>
                <w:sz w:val="22"/>
                <w:lang w:val="fr-FR" w:eastAsia="fr-FR"/>
              </w:rPr>
              <w:t>Pour l’application des paragraphes 1</w:t>
            </w:r>
            <w:r w:rsidRPr="00D651A8">
              <w:rPr>
                <w:rFonts w:asciiTheme="minorHAnsi" w:eastAsia="Times New Roman" w:hAnsiTheme="minorHAnsi" w:cstheme="minorHAnsi"/>
                <w:bCs/>
                <w:sz w:val="22"/>
                <w:vertAlign w:val="superscript"/>
                <w:lang w:val="fr-FR" w:eastAsia="fr-FR"/>
              </w:rPr>
              <w:t>er</w:t>
            </w:r>
            <w:r w:rsidRPr="00D651A8">
              <w:rPr>
                <w:rFonts w:asciiTheme="minorHAnsi" w:eastAsia="Times New Roman" w:hAnsiTheme="minorHAnsi" w:cstheme="minorHAnsi"/>
                <w:bCs/>
                <w:sz w:val="22"/>
                <w:lang w:val="fr-FR" w:eastAsia="fr-FR"/>
              </w:rPr>
              <w:t xml:space="preserve"> et 2, les acteurs visés au paragraphe 1</w:t>
            </w:r>
            <w:r w:rsidRPr="00D651A8">
              <w:rPr>
                <w:rFonts w:asciiTheme="minorHAnsi" w:eastAsia="Times New Roman" w:hAnsiTheme="minorHAnsi" w:cstheme="minorHAnsi"/>
                <w:sz w:val="22"/>
                <w:vertAlign w:val="superscript"/>
                <w:lang w:val="fr-FR" w:eastAsia="fr-FR"/>
              </w:rPr>
              <w:t>er</w:t>
            </w:r>
            <w:r w:rsidRPr="00D651A8">
              <w:rPr>
                <w:rFonts w:asciiTheme="minorHAnsi" w:eastAsia="Times New Roman" w:hAnsiTheme="minorHAnsi" w:cstheme="minorHAnsi"/>
                <w:bCs/>
                <w:sz w:val="22"/>
                <w:lang w:val="fr-FR" w:eastAsia="fr-FR"/>
              </w:rPr>
              <w:t>, alinéa 1</w:t>
            </w:r>
            <w:r w:rsidRPr="00D651A8">
              <w:rPr>
                <w:rFonts w:asciiTheme="minorHAnsi" w:eastAsia="Times New Roman" w:hAnsiTheme="minorHAnsi" w:cstheme="minorHAnsi"/>
                <w:bCs/>
                <w:sz w:val="22"/>
                <w:vertAlign w:val="superscript"/>
                <w:lang w:val="fr-FR" w:eastAsia="fr-FR"/>
              </w:rPr>
              <w:t>er</w:t>
            </w:r>
            <w:r w:rsidRPr="00D651A8">
              <w:rPr>
                <w:rFonts w:asciiTheme="minorHAnsi" w:eastAsia="Times New Roman" w:hAnsiTheme="minorHAnsi" w:cstheme="minorHAnsi"/>
                <w:bCs/>
                <w:sz w:val="22"/>
                <w:lang w:val="fr-FR" w:eastAsia="fr-FR"/>
              </w:rPr>
              <w:t>, 1° à 4°, requis de communiquer l’identification de l'abonné ou de l'utilisateur habituel du service ou d’autres métadonnées, communiquent à l'officier de police judiciaire de l’Institut qui les a requis les données en temps réel ou, le cas échéant, au moment précisé dans la réquisition</w:t>
            </w:r>
            <w:bookmarkEnd w:id="25"/>
            <w:r w:rsidRPr="00D651A8">
              <w:rPr>
                <w:rFonts w:asciiTheme="minorHAnsi" w:eastAsia="Times New Roman" w:hAnsiTheme="minorHAnsi" w:cstheme="minorHAnsi"/>
                <w:bCs/>
                <w:sz w:val="22"/>
                <w:lang w:val="fr-FR" w:eastAsia="fr-FR"/>
              </w:rPr>
              <w:t>.</w:t>
            </w:r>
          </w:p>
        </w:tc>
        <w:tc>
          <w:tcPr>
            <w:tcW w:w="4508" w:type="dxa"/>
          </w:tcPr>
          <w:p w14:paraId="0C4FBD56" w14:textId="61CD8396" w:rsidR="00ED34AE" w:rsidRPr="00D651A8" w:rsidRDefault="00ED34AE" w:rsidP="00ED34AE">
            <w:pPr>
              <w:jc w:val="both"/>
              <w:rPr>
                <w:rFonts w:asciiTheme="minorHAnsi" w:hAnsiTheme="minorHAnsi" w:cstheme="minorHAnsi"/>
                <w:sz w:val="22"/>
              </w:rPr>
            </w:pPr>
            <w:r w:rsidRPr="00D651A8">
              <w:rPr>
                <w:rFonts w:asciiTheme="minorHAnsi" w:hAnsiTheme="minorHAnsi" w:cstheme="minorHAnsi"/>
                <w:b/>
                <w:bCs/>
                <w:sz w:val="22"/>
              </w:rPr>
              <w:t>§ 4.</w:t>
            </w:r>
            <w:r w:rsidRPr="00D651A8">
              <w:rPr>
                <w:rFonts w:asciiTheme="minorHAnsi" w:hAnsiTheme="minorHAnsi" w:cstheme="minorHAnsi"/>
                <w:sz w:val="22"/>
              </w:rPr>
              <w:t xml:space="preserve"> Voor de toepassing van de paragrafen 1 en 2, delen de actoren bedoeld in paragraaf 1, eerste lid, 1° tot 4°, die gevorderd worden de identificatie van de abonnee of van de gewoonlijke gebruiker van de dienst of andere metagegevens mee te delen, aan de officier van gerechtelijke politie van het Instituut die ze gevorderd heeft, de gegevens mee in werkelijke tijd of, in voorkomend geval, op het tijdstip bepaald in de vordering.</w:t>
            </w:r>
          </w:p>
        </w:tc>
      </w:tr>
      <w:tr w:rsidR="00ED34AE" w:rsidRPr="007A377E" w14:paraId="6A7CF8A0" w14:textId="77777777" w:rsidTr="0025113D">
        <w:tc>
          <w:tcPr>
            <w:tcW w:w="4508" w:type="dxa"/>
          </w:tcPr>
          <w:p w14:paraId="4E6E89E6" w14:textId="77777777" w:rsidR="00ED34AE" w:rsidRPr="00D651A8" w:rsidRDefault="00ED34AE" w:rsidP="00ED34AE">
            <w:pPr>
              <w:jc w:val="both"/>
              <w:rPr>
                <w:rFonts w:asciiTheme="minorHAnsi" w:hAnsiTheme="minorHAnsi" w:cstheme="minorHAnsi"/>
                <w:sz w:val="22"/>
              </w:rPr>
            </w:pPr>
          </w:p>
        </w:tc>
        <w:tc>
          <w:tcPr>
            <w:tcW w:w="4508" w:type="dxa"/>
          </w:tcPr>
          <w:p w14:paraId="01AD254F" w14:textId="77777777" w:rsidR="00ED34AE" w:rsidRPr="00D651A8" w:rsidRDefault="00ED34AE" w:rsidP="00ED34AE">
            <w:pPr>
              <w:jc w:val="both"/>
              <w:rPr>
                <w:rFonts w:asciiTheme="minorHAnsi" w:hAnsiTheme="minorHAnsi" w:cstheme="minorHAnsi"/>
                <w:sz w:val="22"/>
              </w:rPr>
            </w:pPr>
          </w:p>
        </w:tc>
      </w:tr>
      <w:tr w:rsidR="00ED34AE" w:rsidRPr="007A377E" w14:paraId="44401CE2" w14:textId="77777777" w:rsidTr="0025113D">
        <w:tc>
          <w:tcPr>
            <w:tcW w:w="4508" w:type="dxa"/>
          </w:tcPr>
          <w:p w14:paraId="575B036B" w14:textId="243DFD51" w:rsidR="00ED34AE" w:rsidRPr="00D651A8" w:rsidRDefault="00ED34AE" w:rsidP="00ED34AE">
            <w:pPr>
              <w:jc w:val="both"/>
              <w:rPr>
                <w:rFonts w:asciiTheme="minorHAnsi" w:hAnsiTheme="minorHAnsi" w:cstheme="minorHAnsi"/>
                <w:sz w:val="22"/>
                <w:lang w:val="fr-BE"/>
              </w:rPr>
            </w:pPr>
            <w:r w:rsidRPr="00D651A8">
              <w:rPr>
                <w:rFonts w:asciiTheme="minorHAnsi" w:eastAsia="Times New Roman" w:hAnsiTheme="minorHAnsi" w:cstheme="minorHAnsi"/>
                <w:bCs/>
                <w:sz w:val="22"/>
                <w:lang w:val="fr-FR" w:eastAsia="fr-FR"/>
              </w:rPr>
              <w:t>Pour l’application des paragraphes 1 à 3, toute personne qui, du chef de sa fonction, a connaissance de la mesure ou y prête son concours, est tenue de garder le secret. Toute violation du secret est punie conformément à l'article 458 du Code pénal.</w:t>
            </w:r>
          </w:p>
        </w:tc>
        <w:tc>
          <w:tcPr>
            <w:tcW w:w="4508" w:type="dxa"/>
          </w:tcPr>
          <w:p w14:paraId="599F02ED" w14:textId="792BCE82" w:rsidR="00ED34AE" w:rsidRPr="00D651A8" w:rsidRDefault="00ED34AE" w:rsidP="00ED34AE">
            <w:pPr>
              <w:jc w:val="both"/>
              <w:rPr>
                <w:rFonts w:asciiTheme="minorHAnsi" w:hAnsiTheme="minorHAnsi" w:cstheme="minorHAnsi"/>
                <w:sz w:val="22"/>
              </w:rPr>
            </w:pPr>
            <w:r w:rsidRPr="00D651A8">
              <w:rPr>
                <w:rFonts w:asciiTheme="minorHAnsi" w:hAnsiTheme="minorHAnsi" w:cstheme="minorHAnsi"/>
                <w:sz w:val="22"/>
              </w:rPr>
              <w:t>Voor de toepassing van de paragrafen 1 tot 3, is iedere persoon die uit hoofde van zijn bediening kennis krijgt van de maatregel of daaraan zijn medewerking verleent, tot geheimhouding verplicht. Iedere schending van het geheim wordt gestraft overeenkomstig artikel 458 van het Strafwetboek.</w:t>
            </w:r>
          </w:p>
        </w:tc>
      </w:tr>
      <w:tr w:rsidR="00ED34AE" w:rsidRPr="007A377E" w14:paraId="7DC39E04" w14:textId="77777777" w:rsidTr="0025113D">
        <w:tc>
          <w:tcPr>
            <w:tcW w:w="4508" w:type="dxa"/>
          </w:tcPr>
          <w:p w14:paraId="129DE0AC" w14:textId="77777777" w:rsidR="00ED34AE" w:rsidRPr="00D651A8" w:rsidRDefault="00ED34AE" w:rsidP="00ED34AE">
            <w:pPr>
              <w:jc w:val="both"/>
              <w:rPr>
                <w:rFonts w:asciiTheme="minorHAnsi" w:hAnsiTheme="minorHAnsi" w:cstheme="minorHAnsi"/>
                <w:sz w:val="22"/>
              </w:rPr>
            </w:pPr>
          </w:p>
        </w:tc>
        <w:tc>
          <w:tcPr>
            <w:tcW w:w="4508" w:type="dxa"/>
          </w:tcPr>
          <w:p w14:paraId="4DC0EFFD" w14:textId="77777777" w:rsidR="00ED34AE" w:rsidRPr="00D651A8" w:rsidRDefault="00ED34AE" w:rsidP="00ED34AE">
            <w:pPr>
              <w:jc w:val="both"/>
              <w:rPr>
                <w:rFonts w:asciiTheme="minorHAnsi" w:hAnsiTheme="minorHAnsi" w:cstheme="minorHAnsi"/>
                <w:sz w:val="22"/>
              </w:rPr>
            </w:pPr>
          </w:p>
        </w:tc>
      </w:tr>
      <w:tr w:rsidR="00ED34AE" w:rsidRPr="007A377E" w14:paraId="18F270E4" w14:textId="77777777" w:rsidTr="0025113D">
        <w:tc>
          <w:tcPr>
            <w:tcW w:w="4508" w:type="dxa"/>
          </w:tcPr>
          <w:p w14:paraId="5491E8E0" w14:textId="209E5960" w:rsidR="00ED34AE" w:rsidRPr="00D651A8" w:rsidRDefault="00ED34AE" w:rsidP="00ED34AE">
            <w:pPr>
              <w:jc w:val="both"/>
              <w:rPr>
                <w:rFonts w:asciiTheme="minorHAnsi" w:hAnsiTheme="minorHAnsi" w:cstheme="minorHAnsi"/>
                <w:sz w:val="22"/>
                <w:lang w:val="fr-BE"/>
              </w:rPr>
            </w:pPr>
            <w:r w:rsidRPr="00D651A8">
              <w:rPr>
                <w:rFonts w:asciiTheme="minorHAnsi" w:eastAsia="Times New Roman" w:hAnsiTheme="minorHAnsi" w:cstheme="minorHAnsi"/>
                <w:bCs/>
                <w:sz w:val="22"/>
                <w:lang w:val="fr-FR" w:eastAsia="fr-FR"/>
              </w:rPr>
              <w:t>Toute personne qui refuse de communiquer les données ou qui ne les communique pas en temps réel ou, le cas échéant, au moment précisé dans le réquisitoire est punie d'une amende de vingt-six euros à dix mille euros.</w:t>
            </w:r>
          </w:p>
        </w:tc>
        <w:tc>
          <w:tcPr>
            <w:tcW w:w="4508" w:type="dxa"/>
          </w:tcPr>
          <w:p w14:paraId="7C9FC917" w14:textId="75D76CFF" w:rsidR="00ED34AE" w:rsidRPr="00D651A8" w:rsidRDefault="00ED34AE" w:rsidP="00ED34AE">
            <w:pPr>
              <w:jc w:val="both"/>
              <w:rPr>
                <w:rFonts w:asciiTheme="minorHAnsi" w:hAnsiTheme="minorHAnsi" w:cstheme="minorHAnsi"/>
                <w:sz w:val="22"/>
              </w:rPr>
            </w:pPr>
            <w:r w:rsidRPr="00D651A8">
              <w:rPr>
                <w:rFonts w:asciiTheme="minorHAnsi" w:eastAsia="Times New Roman" w:hAnsiTheme="minorHAnsi" w:cstheme="minorHAnsi"/>
                <w:sz w:val="22"/>
                <w:lang w:eastAsia="fr-FR"/>
              </w:rPr>
              <w:t>Iedere persoon die de gegevens weigert mee te delen of niet meedeelt in werkelijke tijd of, in voorkomend geval, op het tijdstip bepaald in de vordering, wordt gestraft met een geldboete van zesentwintig euro tot tienduizend euro.</w:t>
            </w:r>
          </w:p>
        </w:tc>
      </w:tr>
      <w:tr w:rsidR="00ED34AE" w:rsidRPr="007A377E" w14:paraId="36333B21" w14:textId="77777777" w:rsidTr="0025113D">
        <w:tc>
          <w:tcPr>
            <w:tcW w:w="4508" w:type="dxa"/>
          </w:tcPr>
          <w:p w14:paraId="27E1A648" w14:textId="77777777" w:rsidR="00ED34AE" w:rsidRPr="00D651A8" w:rsidRDefault="00ED34AE" w:rsidP="00ED34AE">
            <w:pPr>
              <w:jc w:val="both"/>
              <w:rPr>
                <w:rFonts w:asciiTheme="minorHAnsi" w:hAnsiTheme="minorHAnsi" w:cstheme="minorHAnsi"/>
                <w:sz w:val="22"/>
              </w:rPr>
            </w:pPr>
          </w:p>
        </w:tc>
        <w:tc>
          <w:tcPr>
            <w:tcW w:w="4508" w:type="dxa"/>
          </w:tcPr>
          <w:p w14:paraId="16B4EEA0" w14:textId="77777777" w:rsidR="00ED34AE" w:rsidRPr="00D651A8" w:rsidRDefault="00ED34AE" w:rsidP="00ED34AE">
            <w:pPr>
              <w:jc w:val="both"/>
              <w:rPr>
                <w:rFonts w:asciiTheme="minorHAnsi" w:hAnsiTheme="minorHAnsi" w:cstheme="minorHAnsi"/>
                <w:sz w:val="22"/>
              </w:rPr>
            </w:pPr>
          </w:p>
        </w:tc>
      </w:tr>
      <w:tr w:rsidR="00ED34AE" w:rsidRPr="007A377E" w14:paraId="32F8D304" w14:textId="77777777" w:rsidTr="0025113D">
        <w:tc>
          <w:tcPr>
            <w:tcW w:w="4508" w:type="dxa"/>
          </w:tcPr>
          <w:p w14:paraId="74859D46" w14:textId="647D6A85" w:rsidR="00ED34AE" w:rsidRPr="00D651A8" w:rsidRDefault="00ED34AE" w:rsidP="00ED34AE">
            <w:pPr>
              <w:jc w:val="both"/>
              <w:rPr>
                <w:rFonts w:asciiTheme="minorHAnsi" w:hAnsiTheme="minorHAnsi" w:cstheme="minorHAnsi"/>
                <w:sz w:val="22"/>
                <w:lang w:val="fr-BE"/>
              </w:rPr>
            </w:pPr>
            <w:r w:rsidRPr="00D651A8">
              <w:rPr>
                <w:rFonts w:asciiTheme="minorHAnsi" w:eastAsia="Times New Roman" w:hAnsiTheme="minorHAnsi" w:cstheme="minorHAnsi"/>
                <w:bCs/>
                <w:sz w:val="22"/>
                <w:lang w:val="fr-FR" w:eastAsia="fr-FR"/>
              </w:rPr>
              <w:t>Toute personne qui refuse de permettre la consultation de la base de données conformément au paragraphe 3 ou qui ne permet pas cette consultation dans le délai fixé dans le réquisitoire est punie d'une amende de vingt-six euros à dix mille euros.</w:t>
            </w:r>
          </w:p>
        </w:tc>
        <w:tc>
          <w:tcPr>
            <w:tcW w:w="4508" w:type="dxa"/>
          </w:tcPr>
          <w:p w14:paraId="44EF7F70" w14:textId="3A6C6222" w:rsidR="00ED34AE" w:rsidRPr="00D651A8" w:rsidRDefault="00ED34AE" w:rsidP="00ED34AE">
            <w:pPr>
              <w:jc w:val="both"/>
              <w:rPr>
                <w:rFonts w:asciiTheme="minorHAnsi" w:hAnsiTheme="minorHAnsi" w:cstheme="minorHAnsi"/>
                <w:sz w:val="22"/>
              </w:rPr>
            </w:pPr>
            <w:r w:rsidRPr="00D651A8">
              <w:rPr>
                <w:rFonts w:asciiTheme="minorHAnsi" w:eastAsia="Times New Roman" w:hAnsiTheme="minorHAnsi" w:cstheme="minorHAnsi"/>
                <w:sz w:val="22"/>
                <w:lang w:eastAsia="fr-FR"/>
              </w:rPr>
              <w:t>Iedere persoon die weigert de raadpleging mogelijk te maken van de databank overeenkomstig paragraaf 3 of die deze raadpleging niet mogelijk maakt binnen de termijn bepaald in de vordering, wordt gestraft met een geldboete van zesentwintig euro tot tienduizend euro.</w:t>
            </w:r>
          </w:p>
        </w:tc>
      </w:tr>
      <w:tr w:rsidR="00ED34AE" w:rsidRPr="007A377E" w14:paraId="2347F3BD" w14:textId="77777777" w:rsidTr="0025113D">
        <w:tc>
          <w:tcPr>
            <w:tcW w:w="4508" w:type="dxa"/>
          </w:tcPr>
          <w:p w14:paraId="0EC40671" w14:textId="77777777" w:rsidR="00ED34AE" w:rsidRPr="00D651A8" w:rsidRDefault="00ED34AE" w:rsidP="00ED34AE">
            <w:pPr>
              <w:jc w:val="both"/>
              <w:rPr>
                <w:rFonts w:asciiTheme="minorHAnsi" w:hAnsiTheme="minorHAnsi" w:cstheme="minorHAnsi"/>
                <w:sz w:val="22"/>
              </w:rPr>
            </w:pPr>
          </w:p>
        </w:tc>
        <w:tc>
          <w:tcPr>
            <w:tcW w:w="4508" w:type="dxa"/>
          </w:tcPr>
          <w:p w14:paraId="1137C331" w14:textId="77777777" w:rsidR="00ED34AE" w:rsidRPr="00D651A8" w:rsidRDefault="00ED34AE" w:rsidP="00ED34AE">
            <w:pPr>
              <w:jc w:val="both"/>
              <w:rPr>
                <w:rFonts w:asciiTheme="minorHAnsi" w:hAnsiTheme="minorHAnsi" w:cstheme="minorHAnsi"/>
                <w:sz w:val="22"/>
              </w:rPr>
            </w:pPr>
          </w:p>
        </w:tc>
      </w:tr>
      <w:tr w:rsidR="00ED34AE" w:rsidRPr="007A377E" w14:paraId="04561E3C" w14:textId="77777777" w:rsidTr="0025113D">
        <w:tc>
          <w:tcPr>
            <w:tcW w:w="4508" w:type="dxa"/>
          </w:tcPr>
          <w:p w14:paraId="1A5E5156" w14:textId="365B18D6" w:rsidR="00ED34AE" w:rsidRPr="00D651A8" w:rsidRDefault="00ED34AE" w:rsidP="00ED34AE">
            <w:pPr>
              <w:jc w:val="both"/>
              <w:rPr>
                <w:rFonts w:asciiTheme="minorHAnsi" w:hAnsiTheme="minorHAnsi" w:cstheme="minorHAnsi"/>
                <w:sz w:val="22"/>
                <w:lang w:val="fr-BE"/>
              </w:rPr>
            </w:pPr>
            <w:r w:rsidRPr="00D651A8">
              <w:rPr>
                <w:rFonts w:asciiTheme="minorHAnsi" w:hAnsiTheme="minorHAnsi" w:cstheme="minorHAnsi"/>
                <w:b/>
                <w:bCs/>
                <w:sz w:val="22"/>
                <w:lang w:val="fr-BE"/>
              </w:rPr>
              <w:t>§ 5.</w:t>
            </w:r>
            <w:r w:rsidRPr="00D651A8">
              <w:rPr>
                <w:rFonts w:asciiTheme="minorHAnsi" w:hAnsiTheme="minorHAnsi" w:cstheme="minorHAnsi"/>
                <w:sz w:val="22"/>
                <w:lang w:val="fr-BE"/>
              </w:rPr>
              <w:t xml:space="preserve"> Pour l’application des paragraphes 1 à 3, la motivation de la demande adressée à l’officier de police judiciaire visé à l’article 24, § 2, ou au juge d’instruction doit être développée au regard des circonstances de l’enquête. </w:t>
            </w:r>
          </w:p>
        </w:tc>
        <w:tc>
          <w:tcPr>
            <w:tcW w:w="4508" w:type="dxa"/>
          </w:tcPr>
          <w:p w14:paraId="2F630225" w14:textId="5FD4AAFF" w:rsidR="00ED34AE" w:rsidRPr="00D651A8" w:rsidRDefault="00ED34AE" w:rsidP="00ED34AE">
            <w:pPr>
              <w:jc w:val="both"/>
              <w:rPr>
                <w:rFonts w:asciiTheme="minorHAnsi" w:hAnsiTheme="minorHAnsi" w:cstheme="minorHAnsi"/>
                <w:sz w:val="22"/>
              </w:rPr>
            </w:pPr>
            <w:r w:rsidRPr="00D651A8">
              <w:rPr>
                <w:rFonts w:asciiTheme="minorHAnsi" w:hAnsiTheme="minorHAnsi" w:cstheme="minorHAnsi"/>
                <w:b/>
                <w:bCs/>
                <w:sz w:val="22"/>
              </w:rPr>
              <w:t>§ 5.</w:t>
            </w:r>
            <w:r w:rsidRPr="00D651A8">
              <w:rPr>
                <w:rFonts w:asciiTheme="minorHAnsi" w:hAnsiTheme="minorHAnsi" w:cstheme="minorHAnsi"/>
                <w:sz w:val="22"/>
              </w:rPr>
              <w:t xml:space="preserve"> Voor de toepassing van de paragrafen 1 tot 3 moet de motivering van het verzoek gericht aan door de officier van gerechtelijke politie bedoeld in artikel 24, § 2, of aan de onderzoeksrechter uitgewerkt zijn in het licht van de omstandigheden van het onderzoek.</w:t>
            </w:r>
          </w:p>
        </w:tc>
      </w:tr>
      <w:tr w:rsidR="00ED34AE" w:rsidRPr="007A377E" w14:paraId="23AE8BDD" w14:textId="77777777" w:rsidTr="0025113D">
        <w:tc>
          <w:tcPr>
            <w:tcW w:w="4508" w:type="dxa"/>
          </w:tcPr>
          <w:p w14:paraId="2E77B53E" w14:textId="77777777" w:rsidR="00ED34AE" w:rsidRPr="00D651A8" w:rsidRDefault="00ED34AE" w:rsidP="00ED34AE">
            <w:pPr>
              <w:jc w:val="both"/>
              <w:rPr>
                <w:rFonts w:asciiTheme="minorHAnsi" w:hAnsiTheme="minorHAnsi" w:cstheme="minorHAnsi"/>
                <w:sz w:val="22"/>
              </w:rPr>
            </w:pPr>
          </w:p>
        </w:tc>
        <w:tc>
          <w:tcPr>
            <w:tcW w:w="4508" w:type="dxa"/>
          </w:tcPr>
          <w:p w14:paraId="4170E92F" w14:textId="77777777" w:rsidR="00ED34AE" w:rsidRPr="00D651A8" w:rsidRDefault="00ED34AE" w:rsidP="00ED34AE">
            <w:pPr>
              <w:jc w:val="both"/>
              <w:rPr>
                <w:rFonts w:asciiTheme="minorHAnsi" w:hAnsiTheme="minorHAnsi" w:cstheme="minorHAnsi"/>
                <w:sz w:val="22"/>
              </w:rPr>
            </w:pPr>
          </w:p>
        </w:tc>
      </w:tr>
      <w:tr w:rsidR="00ED34AE" w:rsidRPr="007A377E" w14:paraId="5DF2E284" w14:textId="77777777" w:rsidTr="0025113D">
        <w:tc>
          <w:tcPr>
            <w:tcW w:w="4508" w:type="dxa"/>
          </w:tcPr>
          <w:p w14:paraId="7A386450" w14:textId="7CB0EFFE" w:rsidR="00ED34AE" w:rsidRPr="00D651A8" w:rsidRDefault="00ED34AE" w:rsidP="00ED34AE">
            <w:pPr>
              <w:jc w:val="both"/>
              <w:rPr>
                <w:rFonts w:asciiTheme="minorHAnsi" w:hAnsiTheme="minorHAnsi" w:cstheme="minorHAnsi"/>
                <w:sz w:val="22"/>
                <w:lang w:val="fr-BE"/>
              </w:rPr>
            </w:pPr>
            <w:r w:rsidRPr="00D651A8">
              <w:rPr>
                <w:rFonts w:asciiTheme="minorHAnsi" w:hAnsiTheme="minorHAnsi" w:cstheme="minorHAnsi"/>
                <w:sz w:val="22"/>
                <w:lang w:val="fr-BE"/>
              </w:rPr>
              <w:t>Pour l’application des paragraphes 1 et 2, cette motivation doit indiquer :</w:t>
            </w:r>
          </w:p>
        </w:tc>
        <w:tc>
          <w:tcPr>
            <w:tcW w:w="4508" w:type="dxa"/>
          </w:tcPr>
          <w:p w14:paraId="606D58C2" w14:textId="2AF3F10A" w:rsidR="00ED34AE" w:rsidRPr="00D651A8" w:rsidRDefault="00ED34AE" w:rsidP="00ED34AE">
            <w:pPr>
              <w:jc w:val="both"/>
              <w:rPr>
                <w:rFonts w:asciiTheme="minorHAnsi" w:hAnsiTheme="minorHAnsi" w:cstheme="minorHAnsi"/>
                <w:sz w:val="22"/>
              </w:rPr>
            </w:pPr>
            <w:r w:rsidRPr="00D651A8">
              <w:rPr>
                <w:rFonts w:asciiTheme="minorHAnsi" w:hAnsiTheme="minorHAnsi" w:cstheme="minorHAnsi"/>
                <w:sz w:val="22"/>
              </w:rPr>
              <w:t>Voor de toepassing van de paragrafen 1 en 2 moet deze motivering vermelden:</w:t>
            </w:r>
          </w:p>
        </w:tc>
      </w:tr>
      <w:tr w:rsidR="00ED34AE" w:rsidRPr="007A377E" w14:paraId="19E67452" w14:textId="77777777" w:rsidTr="0025113D">
        <w:tc>
          <w:tcPr>
            <w:tcW w:w="4508" w:type="dxa"/>
          </w:tcPr>
          <w:p w14:paraId="49E8CC33" w14:textId="77777777" w:rsidR="00ED34AE" w:rsidRPr="00D651A8" w:rsidRDefault="00ED34AE" w:rsidP="00ED34AE">
            <w:pPr>
              <w:jc w:val="both"/>
              <w:rPr>
                <w:rFonts w:asciiTheme="minorHAnsi" w:hAnsiTheme="minorHAnsi" w:cstheme="minorHAnsi"/>
                <w:sz w:val="22"/>
              </w:rPr>
            </w:pPr>
          </w:p>
        </w:tc>
        <w:tc>
          <w:tcPr>
            <w:tcW w:w="4508" w:type="dxa"/>
          </w:tcPr>
          <w:p w14:paraId="02EEB01A" w14:textId="77777777" w:rsidR="00ED34AE" w:rsidRPr="00D651A8" w:rsidRDefault="00ED34AE" w:rsidP="00ED34AE">
            <w:pPr>
              <w:jc w:val="both"/>
              <w:rPr>
                <w:rFonts w:asciiTheme="minorHAnsi" w:hAnsiTheme="minorHAnsi" w:cstheme="minorHAnsi"/>
                <w:sz w:val="22"/>
              </w:rPr>
            </w:pPr>
          </w:p>
        </w:tc>
      </w:tr>
      <w:tr w:rsidR="00ED34AE" w:rsidRPr="007A377E" w14:paraId="4F685677" w14:textId="77777777" w:rsidTr="0025113D">
        <w:tc>
          <w:tcPr>
            <w:tcW w:w="4508" w:type="dxa"/>
          </w:tcPr>
          <w:p w14:paraId="55A298BF" w14:textId="6B72D995" w:rsidR="00ED34AE" w:rsidRPr="00D651A8" w:rsidRDefault="00ED34AE" w:rsidP="00ED34AE">
            <w:pPr>
              <w:jc w:val="both"/>
              <w:rPr>
                <w:rFonts w:asciiTheme="minorHAnsi" w:hAnsiTheme="minorHAnsi" w:cstheme="minorHAnsi"/>
                <w:sz w:val="22"/>
                <w:lang w:val="fr-BE"/>
              </w:rPr>
            </w:pPr>
            <w:r w:rsidRPr="00D651A8">
              <w:rPr>
                <w:rFonts w:asciiTheme="minorHAnsi" w:hAnsiTheme="minorHAnsi" w:cstheme="minorHAnsi"/>
                <w:sz w:val="22"/>
                <w:lang w:val="fr-BE"/>
              </w:rPr>
              <w:t xml:space="preserve">1° le lien entre les données demandées et l’objectif de recherche, de constat ou de poursuite de l’infraction spécifique qui justifie la demande ; </w:t>
            </w:r>
          </w:p>
        </w:tc>
        <w:tc>
          <w:tcPr>
            <w:tcW w:w="4508" w:type="dxa"/>
          </w:tcPr>
          <w:p w14:paraId="59CAAD54" w14:textId="301217E0" w:rsidR="00ED34AE" w:rsidRPr="00D651A8" w:rsidRDefault="00ED34AE" w:rsidP="00ED34AE">
            <w:pPr>
              <w:jc w:val="both"/>
              <w:rPr>
                <w:rFonts w:asciiTheme="minorHAnsi" w:hAnsiTheme="minorHAnsi" w:cstheme="minorHAnsi"/>
                <w:sz w:val="22"/>
              </w:rPr>
            </w:pPr>
            <w:r w:rsidRPr="00D651A8">
              <w:rPr>
                <w:rFonts w:asciiTheme="minorHAnsi" w:hAnsiTheme="minorHAnsi" w:cstheme="minorHAnsi"/>
                <w:sz w:val="22"/>
              </w:rPr>
              <w:t>1° het verband tussen de gevraagde gegevens en het doel van de opsporing, vaststelling of de vervolging van de specifieke inbreuk dat het verzoek rechtvaardigt;</w:t>
            </w:r>
          </w:p>
        </w:tc>
      </w:tr>
      <w:tr w:rsidR="00ED34AE" w:rsidRPr="007A377E" w14:paraId="57B195DC" w14:textId="77777777" w:rsidTr="0025113D">
        <w:tc>
          <w:tcPr>
            <w:tcW w:w="4508" w:type="dxa"/>
          </w:tcPr>
          <w:p w14:paraId="70CA0319" w14:textId="77777777" w:rsidR="00ED34AE" w:rsidRPr="00D651A8" w:rsidRDefault="00ED34AE" w:rsidP="00ED34AE">
            <w:pPr>
              <w:jc w:val="both"/>
              <w:rPr>
                <w:rFonts w:asciiTheme="minorHAnsi" w:hAnsiTheme="minorHAnsi" w:cstheme="minorHAnsi"/>
                <w:sz w:val="22"/>
              </w:rPr>
            </w:pPr>
          </w:p>
        </w:tc>
        <w:tc>
          <w:tcPr>
            <w:tcW w:w="4508" w:type="dxa"/>
          </w:tcPr>
          <w:p w14:paraId="10E5B731" w14:textId="77777777" w:rsidR="00ED34AE" w:rsidRPr="00D651A8" w:rsidRDefault="00ED34AE" w:rsidP="00ED34AE">
            <w:pPr>
              <w:jc w:val="both"/>
              <w:rPr>
                <w:rFonts w:asciiTheme="minorHAnsi" w:hAnsiTheme="minorHAnsi" w:cstheme="minorHAnsi"/>
                <w:sz w:val="22"/>
              </w:rPr>
            </w:pPr>
          </w:p>
        </w:tc>
      </w:tr>
      <w:tr w:rsidR="00ED34AE" w:rsidRPr="007A377E" w14:paraId="6C127D29" w14:textId="77777777" w:rsidTr="0025113D">
        <w:tc>
          <w:tcPr>
            <w:tcW w:w="4508" w:type="dxa"/>
          </w:tcPr>
          <w:p w14:paraId="52CF0890" w14:textId="412AB1D5" w:rsidR="00ED34AE" w:rsidRPr="00D651A8" w:rsidRDefault="00ED34AE" w:rsidP="00ED34AE">
            <w:pPr>
              <w:jc w:val="both"/>
              <w:rPr>
                <w:rFonts w:asciiTheme="minorHAnsi" w:hAnsiTheme="minorHAnsi" w:cstheme="minorHAnsi"/>
                <w:sz w:val="22"/>
                <w:lang w:val="fr-BE"/>
              </w:rPr>
            </w:pPr>
            <w:r w:rsidRPr="00D651A8">
              <w:rPr>
                <w:rFonts w:asciiTheme="minorHAnsi" w:hAnsiTheme="minorHAnsi" w:cstheme="minorHAnsi"/>
                <w:sz w:val="22"/>
                <w:lang w:val="fr-BE"/>
              </w:rPr>
              <w:t>2° le caractère strictement nécessaire des données demandées dans le cadre de l’enquête.</w:t>
            </w:r>
          </w:p>
        </w:tc>
        <w:tc>
          <w:tcPr>
            <w:tcW w:w="4508" w:type="dxa"/>
          </w:tcPr>
          <w:p w14:paraId="6B886EE0" w14:textId="1DF520D5" w:rsidR="00ED34AE" w:rsidRPr="00D651A8" w:rsidRDefault="00ED34AE" w:rsidP="00ED34AE">
            <w:pPr>
              <w:jc w:val="both"/>
              <w:rPr>
                <w:rFonts w:asciiTheme="minorHAnsi" w:hAnsiTheme="minorHAnsi" w:cstheme="minorHAnsi"/>
                <w:sz w:val="22"/>
              </w:rPr>
            </w:pPr>
            <w:r w:rsidRPr="00D651A8">
              <w:rPr>
                <w:rFonts w:asciiTheme="minorHAnsi" w:hAnsiTheme="minorHAnsi" w:cstheme="minorHAnsi"/>
                <w:sz w:val="22"/>
              </w:rPr>
              <w:t>2° de strikt noodzakelijke aard van de gegevens die worden gevraagd in het kader van het  onderzoek.</w:t>
            </w:r>
          </w:p>
        </w:tc>
      </w:tr>
      <w:tr w:rsidR="00ED34AE" w:rsidRPr="007A377E" w14:paraId="7472253A" w14:textId="77777777" w:rsidTr="0025113D">
        <w:tc>
          <w:tcPr>
            <w:tcW w:w="4508" w:type="dxa"/>
          </w:tcPr>
          <w:p w14:paraId="5104D52D" w14:textId="77777777" w:rsidR="00ED34AE" w:rsidRPr="00D651A8" w:rsidRDefault="00ED34AE" w:rsidP="00ED34AE">
            <w:pPr>
              <w:jc w:val="both"/>
              <w:rPr>
                <w:rFonts w:asciiTheme="minorHAnsi" w:hAnsiTheme="minorHAnsi" w:cstheme="minorHAnsi"/>
                <w:sz w:val="22"/>
              </w:rPr>
            </w:pPr>
          </w:p>
        </w:tc>
        <w:tc>
          <w:tcPr>
            <w:tcW w:w="4508" w:type="dxa"/>
          </w:tcPr>
          <w:p w14:paraId="41730420" w14:textId="77777777" w:rsidR="00ED34AE" w:rsidRPr="00D651A8" w:rsidRDefault="00ED34AE" w:rsidP="00ED34AE">
            <w:pPr>
              <w:jc w:val="both"/>
              <w:rPr>
                <w:rFonts w:asciiTheme="minorHAnsi" w:hAnsiTheme="minorHAnsi" w:cstheme="minorHAnsi"/>
                <w:sz w:val="22"/>
              </w:rPr>
            </w:pPr>
          </w:p>
        </w:tc>
      </w:tr>
      <w:tr w:rsidR="00ED34AE" w:rsidRPr="007A377E" w14:paraId="5731C2A1" w14:textId="77777777" w:rsidTr="0025113D">
        <w:tc>
          <w:tcPr>
            <w:tcW w:w="4508" w:type="dxa"/>
          </w:tcPr>
          <w:p w14:paraId="5A0B0799" w14:textId="01AAC104" w:rsidR="00ED34AE" w:rsidRPr="00D651A8" w:rsidRDefault="00ED34AE" w:rsidP="00ED34AE">
            <w:pPr>
              <w:jc w:val="both"/>
              <w:rPr>
                <w:rFonts w:asciiTheme="minorHAnsi" w:hAnsiTheme="minorHAnsi" w:cstheme="minorHAnsi"/>
                <w:sz w:val="22"/>
                <w:lang w:val="fr-BE"/>
              </w:rPr>
            </w:pPr>
            <w:r w:rsidRPr="00D651A8">
              <w:rPr>
                <w:rFonts w:asciiTheme="minorHAnsi" w:hAnsiTheme="minorHAnsi" w:cstheme="minorHAnsi"/>
                <w:b/>
                <w:sz w:val="22"/>
                <w:lang w:val="fr-BE"/>
              </w:rPr>
              <w:t xml:space="preserve">§ </w:t>
            </w:r>
            <w:r w:rsidRPr="00D651A8">
              <w:rPr>
                <w:rFonts w:asciiTheme="minorHAnsi" w:hAnsiTheme="minorHAnsi" w:cstheme="minorHAnsi"/>
                <w:b/>
                <w:bCs/>
                <w:sz w:val="22"/>
                <w:lang w:val="fr-BE"/>
              </w:rPr>
              <w:t>6</w:t>
            </w:r>
            <w:r w:rsidRPr="00D651A8">
              <w:rPr>
                <w:rFonts w:asciiTheme="minorHAnsi" w:hAnsiTheme="minorHAnsi" w:cstheme="minorHAnsi"/>
                <w:b/>
                <w:sz w:val="22"/>
                <w:lang w:val="fr-BE"/>
              </w:rPr>
              <w:t>.</w:t>
            </w:r>
            <w:r w:rsidRPr="00D651A8">
              <w:rPr>
                <w:rFonts w:asciiTheme="minorHAnsi" w:hAnsiTheme="minorHAnsi" w:cstheme="minorHAnsi"/>
                <w:sz w:val="22"/>
                <w:lang w:val="fr-BE"/>
              </w:rPr>
              <w:t xml:space="preserve"> Les officiers de police judiciaire de l’Institut consignent dans un registre : </w:t>
            </w:r>
          </w:p>
        </w:tc>
        <w:tc>
          <w:tcPr>
            <w:tcW w:w="4508" w:type="dxa"/>
          </w:tcPr>
          <w:p w14:paraId="742F5737" w14:textId="0EBB5D92" w:rsidR="00ED34AE" w:rsidRPr="00D651A8" w:rsidRDefault="00ED34AE" w:rsidP="00ED34AE">
            <w:pPr>
              <w:jc w:val="both"/>
              <w:rPr>
                <w:rFonts w:asciiTheme="minorHAnsi" w:hAnsiTheme="minorHAnsi" w:cstheme="minorHAnsi"/>
                <w:sz w:val="22"/>
              </w:rPr>
            </w:pPr>
            <w:r w:rsidRPr="00D651A8">
              <w:rPr>
                <w:rFonts w:asciiTheme="minorHAnsi" w:hAnsiTheme="minorHAnsi" w:cstheme="minorHAnsi"/>
                <w:b/>
                <w:sz w:val="22"/>
              </w:rPr>
              <w:t xml:space="preserve">§ </w:t>
            </w:r>
            <w:r w:rsidRPr="00D651A8">
              <w:rPr>
                <w:rFonts w:asciiTheme="minorHAnsi" w:hAnsiTheme="minorHAnsi" w:cstheme="minorHAnsi"/>
                <w:b/>
                <w:bCs/>
                <w:sz w:val="22"/>
              </w:rPr>
              <w:t>6</w:t>
            </w:r>
            <w:r w:rsidRPr="00D651A8">
              <w:rPr>
                <w:rFonts w:asciiTheme="minorHAnsi" w:hAnsiTheme="minorHAnsi" w:cstheme="minorHAnsi"/>
                <w:b/>
                <w:sz w:val="22"/>
              </w:rPr>
              <w:t>.</w:t>
            </w:r>
            <w:r w:rsidRPr="00D651A8">
              <w:rPr>
                <w:rFonts w:asciiTheme="minorHAnsi" w:hAnsiTheme="minorHAnsi" w:cstheme="minorHAnsi"/>
                <w:sz w:val="22"/>
              </w:rPr>
              <w:t xml:space="preserve"> De officieren van gerechtelijke politie van het Instituut nemen op in een inventaris:</w:t>
            </w:r>
          </w:p>
        </w:tc>
      </w:tr>
      <w:tr w:rsidR="00ED34AE" w:rsidRPr="007A377E" w14:paraId="2D62B845" w14:textId="77777777" w:rsidTr="0025113D">
        <w:tc>
          <w:tcPr>
            <w:tcW w:w="4508" w:type="dxa"/>
          </w:tcPr>
          <w:p w14:paraId="2B0478D3" w14:textId="77777777" w:rsidR="00ED34AE" w:rsidRPr="00D651A8" w:rsidRDefault="00ED34AE" w:rsidP="00ED34AE">
            <w:pPr>
              <w:jc w:val="both"/>
              <w:rPr>
                <w:rFonts w:asciiTheme="minorHAnsi" w:hAnsiTheme="minorHAnsi" w:cstheme="minorHAnsi"/>
                <w:sz w:val="22"/>
              </w:rPr>
            </w:pPr>
          </w:p>
        </w:tc>
        <w:tc>
          <w:tcPr>
            <w:tcW w:w="4508" w:type="dxa"/>
          </w:tcPr>
          <w:p w14:paraId="659C046D" w14:textId="77777777" w:rsidR="00ED34AE" w:rsidRPr="00D651A8" w:rsidRDefault="00ED34AE" w:rsidP="00ED34AE">
            <w:pPr>
              <w:jc w:val="both"/>
              <w:rPr>
                <w:rFonts w:asciiTheme="minorHAnsi" w:hAnsiTheme="minorHAnsi" w:cstheme="minorHAnsi"/>
                <w:sz w:val="22"/>
              </w:rPr>
            </w:pPr>
          </w:p>
        </w:tc>
      </w:tr>
      <w:tr w:rsidR="00ED34AE" w:rsidRPr="007A377E" w14:paraId="76E02BAE" w14:textId="77777777" w:rsidTr="0025113D">
        <w:tc>
          <w:tcPr>
            <w:tcW w:w="4508" w:type="dxa"/>
          </w:tcPr>
          <w:p w14:paraId="52F90528" w14:textId="45015679" w:rsidR="00ED34AE" w:rsidRPr="00D651A8" w:rsidRDefault="00ED34AE" w:rsidP="00ED34AE">
            <w:pPr>
              <w:jc w:val="both"/>
              <w:rPr>
                <w:rFonts w:asciiTheme="minorHAnsi" w:hAnsiTheme="minorHAnsi" w:cstheme="minorHAnsi"/>
                <w:sz w:val="22"/>
                <w:lang w:val="fr-BE"/>
              </w:rPr>
            </w:pPr>
            <w:r w:rsidRPr="00D651A8">
              <w:rPr>
                <w:rFonts w:asciiTheme="minorHAnsi" w:hAnsiTheme="minorHAnsi" w:cstheme="minorHAnsi"/>
                <w:sz w:val="22"/>
                <w:lang w:val="fr-BE"/>
              </w:rPr>
              <w:t xml:space="preserve">1° l’ensemble des demandes visées aux paragraphes 1, 2 et 3 ; </w:t>
            </w:r>
          </w:p>
        </w:tc>
        <w:tc>
          <w:tcPr>
            <w:tcW w:w="4508" w:type="dxa"/>
          </w:tcPr>
          <w:p w14:paraId="3647ADB8" w14:textId="5F5F45C8" w:rsidR="00ED34AE" w:rsidRPr="00D651A8" w:rsidRDefault="00ED34AE" w:rsidP="00ED34AE">
            <w:pPr>
              <w:jc w:val="both"/>
              <w:rPr>
                <w:rFonts w:asciiTheme="minorHAnsi" w:hAnsiTheme="minorHAnsi" w:cstheme="minorHAnsi"/>
                <w:sz w:val="22"/>
              </w:rPr>
            </w:pPr>
            <w:r w:rsidRPr="00D651A8">
              <w:rPr>
                <w:rFonts w:asciiTheme="minorHAnsi" w:hAnsiTheme="minorHAnsi" w:cstheme="minorHAnsi"/>
                <w:sz w:val="22"/>
              </w:rPr>
              <w:t>1° alle verzoeken waarvan sprake in de paragrafen 1, 2 en 3;</w:t>
            </w:r>
          </w:p>
        </w:tc>
      </w:tr>
      <w:tr w:rsidR="00ED34AE" w:rsidRPr="007A377E" w14:paraId="09CE7988" w14:textId="77777777" w:rsidTr="0025113D">
        <w:tc>
          <w:tcPr>
            <w:tcW w:w="4508" w:type="dxa"/>
          </w:tcPr>
          <w:p w14:paraId="10F8A920" w14:textId="77777777" w:rsidR="00ED34AE" w:rsidRPr="00D651A8" w:rsidRDefault="00ED34AE" w:rsidP="00ED34AE">
            <w:pPr>
              <w:jc w:val="both"/>
              <w:rPr>
                <w:rFonts w:asciiTheme="minorHAnsi" w:hAnsiTheme="minorHAnsi" w:cstheme="minorHAnsi"/>
                <w:sz w:val="22"/>
              </w:rPr>
            </w:pPr>
          </w:p>
        </w:tc>
        <w:tc>
          <w:tcPr>
            <w:tcW w:w="4508" w:type="dxa"/>
          </w:tcPr>
          <w:p w14:paraId="2E7CEE4B" w14:textId="77777777" w:rsidR="00ED34AE" w:rsidRPr="00D651A8" w:rsidRDefault="00ED34AE" w:rsidP="00ED34AE">
            <w:pPr>
              <w:jc w:val="both"/>
              <w:rPr>
                <w:rFonts w:asciiTheme="minorHAnsi" w:hAnsiTheme="minorHAnsi" w:cstheme="minorHAnsi"/>
                <w:sz w:val="22"/>
              </w:rPr>
            </w:pPr>
          </w:p>
        </w:tc>
      </w:tr>
      <w:tr w:rsidR="00ED34AE" w:rsidRPr="007A377E" w14:paraId="59C3681B" w14:textId="77777777" w:rsidTr="0025113D">
        <w:tc>
          <w:tcPr>
            <w:tcW w:w="4508" w:type="dxa"/>
          </w:tcPr>
          <w:p w14:paraId="5119186B" w14:textId="65050416" w:rsidR="00ED34AE" w:rsidRPr="00D651A8" w:rsidRDefault="00ED34AE" w:rsidP="00ED34AE">
            <w:pPr>
              <w:jc w:val="both"/>
              <w:rPr>
                <w:rFonts w:asciiTheme="minorHAnsi" w:hAnsiTheme="minorHAnsi" w:cstheme="minorHAnsi"/>
                <w:sz w:val="22"/>
                <w:lang w:val="fr-BE"/>
              </w:rPr>
            </w:pPr>
            <w:r w:rsidRPr="00D651A8">
              <w:rPr>
                <w:rFonts w:asciiTheme="minorHAnsi" w:hAnsiTheme="minorHAnsi" w:cstheme="minorHAnsi"/>
                <w:sz w:val="22"/>
                <w:lang w:val="fr-BE"/>
              </w:rPr>
              <w:t xml:space="preserve">2° la motivation de la demande et la justification de l’urgence communiquées  au juge d’instruction conformément au paragraphe 2, alinéa 3 ; </w:t>
            </w:r>
          </w:p>
        </w:tc>
        <w:tc>
          <w:tcPr>
            <w:tcW w:w="4508" w:type="dxa"/>
          </w:tcPr>
          <w:p w14:paraId="4ACA9BAF" w14:textId="0C7AB88E" w:rsidR="00ED34AE" w:rsidRPr="00D651A8" w:rsidRDefault="00ED34AE" w:rsidP="00ED34AE">
            <w:pPr>
              <w:jc w:val="both"/>
              <w:rPr>
                <w:rFonts w:asciiTheme="minorHAnsi" w:hAnsiTheme="minorHAnsi" w:cstheme="minorHAnsi"/>
                <w:sz w:val="22"/>
              </w:rPr>
            </w:pPr>
            <w:r w:rsidRPr="00D651A8">
              <w:rPr>
                <w:rFonts w:asciiTheme="minorHAnsi" w:hAnsiTheme="minorHAnsi" w:cstheme="minorHAnsi"/>
                <w:sz w:val="22"/>
              </w:rPr>
              <w:t>2° de motivering van het verzoek en de rechtvaardiging van de hoogdringendheid die meegedeeld zijn aan de onderzoeksrechter overeenkomstig paragraaf 2, derde lid;</w:t>
            </w:r>
          </w:p>
        </w:tc>
      </w:tr>
      <w:tr w:rsidR="00ED34AE" w:rsidRPr="007A377E" w14:paraId="3FEBC607" w14:textId="77777777" w:rsidTr="0025113D">
        <w:tc>
          <w:tcPr>
            <w:tcW w:w="4508" w:type="dxa"/>
          </w:tcPr>
          <w:p w14:paraId="4BE6C715" w14:textId="77777777" w:rsidR="00ED34AE" w:rsidRPr="00D651A8" w:rsidRDefault="00ED34AE" w:rsidP="00ED34AE">
            <w:pPr>
              <w:jc w:val="both"/>
              <w:rPr>
                <w:rFonts w:asciiTheme="minorHAnsi" w:hAnsiTheme="minorHAnsi" w:cstheme="minorHAnsi"/>
                <w:sz w:val="22"/>
              </w:rPr>
            </w:pPr>
          </w:p>
        </w:tc>
        <w:tc>
          <w:tcPr>
            <w:tcW w:w="4508" w:type="dxa"/>
          </w:tcPr>
          <w:p w14:paraId="6F703D47" w14:textId="77777777" w:rsidR="00ED34AE" w:rsidRPr="00D651A8" w:rsidRDefault="00ED34AE" w:rsidP="00ED34AE">
            <w:pPr>
              <w:jc w:val="both"/>
              <w:rPr>
                <w:rFonts w:asciiTheme="minorHAnsi" w:hAnsiTheme="minorHAnsi" w:cstheme="minorHAnsi"/>
                <w:sz w:val="22"/>
              </w:rPr>
            </w:pPr>
          </w:p>
        </w:tc>
      </w:tr>
      <w:tr w:rsidR="00ED34AE" w:rsidRPr="007A377E" w14:paraId="61F02581" w14:textId="77777777" w:rsidTr="0025113D">
        <w:tc>
          <w:tcPr>
            <w:tcW w:w="4508" w:type="dxa"/>
          </w:tcPr>
          <w:p w14:paraId="5318D07C" w14:textId="45F8E1D1" w:rsidR="00ED34AE" w:rsidRPr="00D651A8" w:rsidRDefault="00ED34AE" w:rsidP="00ED34AE">
            <w:pPr>
              <w:jc w:val="both"/>
              <w:rPr>
                <w:rFonts w:asciiTheme="minorHAnsi" w:hAnsiTheme="minorHAnsi" w:cstheme="minorHAnsi"/>
                <w:sz w:val="22"/>
                <w:lang w:val="fr-BE"/>
              </w:rPr>
            </w:pPr>
            <w:r w:rsidRPr="00D651A8">
              <w:rPr>
                <w:rFonts w:asciiTheme="minorHAnsi" w:hAnsiTheme="minorHAnsi" w:cstheme="minorHAnsi"/>
                <w:sz w:val="22"/>
                <w:lang w:val="fr-BE"/>
              </w:rPr>
              <w:t>3° les autorisations prévues aux paragraphes 1, 2 et 3.</w:t>
            </w:r>
            <w:r w:rsidR="003A24C7">
              <w:rPr>
                <w:rFonts w:asciiTheme="minorHAnsi" w:hAnsiTheme="minorHAnsi" w:cstheme="minorHAnsi"/>
                <w:sz w:val="22"/>
                <w:lang w:val="fr-BE"/>
              </w:rPr>
              <w:t> »</w:t>
            </w:r>
            <w:r w:rsidRPr="00D651A8">
              <w:rPr>
                <w:rFonts w:asciiTheme="minorHAnsi" w:hAnsiTheme="minorHAnsi" w:cstheme="minorHAnsi"/>
                <w:sz w:val="22"/>
                <w:lang w:val="fr-BE"/>
              </w:rPr>
              <w:t xml:space="preserve"> </w:t>
            </w:r>
          </w:p>
        </w:tc>
        <w:tc>
          <w:tcPr>
            <w:tcW w:w="4508" w:type="dxa"/>
          </w:tcPr>
          <w:p w14:paraId="7A030BFF" w14:textId="4116E708" w:rsidR="00ED34AE" w:rsidRPr="00D651A8" w:rsidRDefault="00ED34AE" w:rsidP="00ED34AE">
            <w:pPr>
              <w:jc w:val="both"/>
              <w:rPr>
                <w:rFonts w:asciiTheme="minorHAnsi" w:hAnsiTheme="minorHAnsi" w:cstheme="minorHAnsi"/>
                <w:sz w:val="22"/>
              </w:rPr>
            </w:pPr>
            <w:r w:rsidRPr="00D651A8">
              <w:rPr>
                <w:rFonts w:asciiTheme="minorHAnsi" w:hAnsiTheme="minorHAnsi" w:cstheme="minorHAnsi"/>
                <w:sz w:val="22"/>
              </w:rPr>
              <w:t>3° de in de paragrafen</w:t>
            </w:r>
            <w:r w:rsidR="00866F12">
              <w:rPr>
                <w:rFonts w:asciiTheme="minorHAnsi" w:hAnsiTheme="minorHAnsi" w:cstheme="minorHAnsi"/>
                <w:sz w:val="22"/>
              </w:rPr>
              <w:t xml:space="preserve"> </w:t>
            </w:r>
            <w:r w:rsidRPr="00D651A8">
              <w:rPr>
                <w:rFonts w:asciiTheme="minorHAnsi" w:hAnsiTheme="minorHAnsi" w:cstheme="minorHAnsi"/>
                <w:sz w:val="22"/>
              </w:rPr>
              <w:t>1, 2 en 3 bedoelde toestemmingen.</w:t>
            </w:r>
            <w:r w:rsidR="003A24C7">
              <w:rPr>
                <w:rFonts w:asciiTheme="minorHAnsi" w:hAnsiTheme="minorHAnsi" w:cstheme="minorHAnsi"/>
                <w:sz w:val="22"/>
              </w:rPr>
              <w:t>”</w:t>
            </w:r>
          </w:p>
        </w:tc>
      </w:tr>
      <w:tr w:rsidR="00ED34AE" w:rsidRPr="007A377E" w14:paraId="24AA6C96" w14:textId="77777777" w:rsidTr="0025113D">
        <w:tc>
          <w:tcPr>
            <w:tcW w:w="4508" w:type="dxa"/>
          </w:tcPr>
          <w:p w14:paraId="0CCEC975" w14:textId="77777777" w:rsidR="00ED34AE" w:rsidRPr="007A377E" w:rsidRDefault="00ED34AE" w:rsidP="00ED34AE">
            <w:pPr>
              <w:rPr>
                <w:rFonts w:asciiTheme="minorHAnsi" w:hAnsiTheme="minorHAnsi" w:cstheme="minorHAnsi"/>
                <w:sz w:val="22"/>
              </w:rPr>
            </w:pPr>
          </w:p>
        </w:tc>
        <w:tc>
          <w:tcPr>
            <w:tcW w:w="4508" w:type="dxa"/>
          </w:tcPr>
          <w:p w14:paraId="741354D5" w14:textId="77777777" w:rsidR="00ED34AE" w:rsidRPr="007A377E" w:rsidRDefault="00ED34AE" w:rsidP="00ED34AE">
            <w:pPr>
              <w:rPr>
                <w:rFonts w:asciiTheme="minorHAnsi" w:hAnsiTheme="minorHAnsi" w:cstheme="minorHAnsi"/>
                <w:sz w:val="22"/>
              </w:rPr>
            </w:pPr>
          </w:p>
        </w:tc>
      </w:tr>
      <w:tr w:rsidR="00ED34AE" w:rsidRPr="007A377E" w14:paraId="284438DE" w14:textId="77777777" w:rsidTr="0025113D">
        <w:tc>
          <w:tcPr>
            <w:tcW w:w="4508" w:type="dxa"/>
          </w:tcPr>
          <w:p w14:paraId="27948F54" w14:textId="58F99B3F" w:rsidR="00ED34AE" w:rsidRPr="007A377E" w:rsidRDefault="00ED34AE" w:rsidP="00ED34AE">
            <w:pPr>
              <w:jc w:val="center"/>
              <w:rPr>
                <w:rFonts w:asciiTheme="minorHAnsi" w:hAnsiTheme="minorHAnsi" w:cstheme="minorHAnsi"/>
                <w:sz w:val="22"/>
              </w:rPr>
            </w:pPr>
            <w:r w:rsidRPr="007A377E">
              <w:rPr>
                <w:rFonts w:asciiTheme="minorHAnsi" w:hAnsiTheme="minorHAnsi" w:cstheme="minorHAnsi"/>
                <w:b/>
                <w:bCs/>
                <w:sz w:val="22"/>
                <w:lang w:eastAsia="fr-FR"/>
              </w:rPr>
              <w:t>JUSTIFICATION</w:t>
            </w:r>
          </w:p>
        </w:tc>
        <w:tc>
          <w:tcPr>
            <w:tcW w:w="4508" w:type="dxa"/>
          </w:tcPr>
          <w:p w14:paraId="094B4935" w14:textId="7AC5A569" w:rsidR="00ED34AE" w:rsidRPr="007A377E" w:rsidRDefault="00ED34AE" w:rsidP="00ED34AE">
            <w:pPr>
              <w:jc w:val="center"/>
              <w:rPr>
                <w:rFonts w:asciiTheme="minorHAnsi" w:hAnsiTheme="minorHAnsi" w:cstheme="minorHAnsi"/>
                <w:sz w:val="22"/>
              </w:rPr>
            </w:pPr>
            <w:r w:rsidRPr="007A377E">
              <w:rPr>
                <w:rFonts w:asciiTheme="minorHAnsi" w:hAnsiTheme="minorHAnsi" w:cstheme="minorHAnsi"/>
                <w:b/>
                <w:bCs/>
                <w:sz w:val="22"/>
                <w:lang w:val="fr-BE" w:eastAsia="fr-FR"/>
              </w:rPr>
              <w:t>VERANTWOORDING</w:t>
            </w:r>
          </w:p>
        </w:tc>
      </w:tr>
      <w:tr w:rsidR="00ED34AE" w:rsidRPr="007A377E" w14:paraId="23746D37" w14:textId="77777777" w:rsidTr="0025113D">
        <w:tc>
          <w:tcPr>
            <w:tcW w:w="4508" w:type="dxa"/>
          </w:tcPr>
          <w:p w14:paraId="5C46627B" w14:textId="77777777" w:rsidR="00ED34AE" w:rsidRPr="007D57D2" w:rsidRDefault="00ED34AE" w:rsidP="00ED34AE">
            <w:pPr>
              <w:rPr>
                <w:rFonts w:asciiTheme="minorHAnsi" w:hAnsiTheme="minorHAnsi" w:cstheme="minorHAnsi"/>
                <w:b/>
                <w:bCs/>
                <w:sz w:val="22"/>
                <w:u w:val="single"/>
              </w:rPr>
            </w:pPr>
          </w:p>
        </w:tc>
        <w:tc>
          <w:tcPr>
            <w:tcW w:w="4508" w:type="dxa"/>
          </w:tcPr>
          <w:p w14:paraId="133CED9D" w14:textId="77777777" w:rsidR="00ED34AE" w:rsidRPr="007D57D2" w:rsidRDefault="00ED34AE" w:rsidP="00ED34AE">
            <w:pPr>
              <w:rPr>
                <w:rFonts w:asciiTheme="minorHAnsi" w:hAnsiTheme="minorHAnsi" w:cstheme="minorHAnsi"/>
                <w:b/>
                <w:bCs/>
                <w:sz w:val="22"/>
                <w:u w:val="single"/>
              </w:rPr>
            </w:pPr>
          </w:p>
        </w:tc>
      </w:tr>
      <w:tr w:rsidR="007D57D2" w:rsidRPr="007A377E" w14:paraId="4CE9AAB5" w14:textId="77777777" w:rsidTr="0025113D">
        <w:tc>
          <w:tcPr>
            <w:tcW w:w="4508" w:type="dxa"/>
          </w:tcPr>
          <w:p w14:paraId="448E8DE7" w14:textId="7492C23B" w:rsidR="007D57D2" w:rsidRPr="007D57D2" w:rsidRDefault="007D57D2" w:rsidP="007D57D2">
            <w:pPr>
              <w:jc w:val="both"/>
              <w:rPr>
                <w:rFonts w:asciiTheme="minorHAnsi" w:hAnsiTheme="minorHAnsi" w:cstheme="minorHAnsi"/>
                <w:b/>
                <w:bCs/>
                <w:sz w:val="22"/>
                <w:u w:val="single"/>
                <w:lang w:val="fr-BE"/>
              </w:rPr>
            </w:pPr>
            <w:r w:rsidRPr="007D57D2">
              <w:rPr>
                <w:rFonts w:asciiTheme="minorHAnsi" w:hAnsiTheme="minorHAnsi" w:cstheme="minorHAnsi"/>
                <w:b/>
                <w:bCs/>
                <w:sz w:val="22"/>
                <w:u w:val="single"/>
                <w:lang w:val="fr-BE"/>
              </w:rPr>
              <w:t xml:space="preserve">Introduction pour les paragraphes 1 et 2 </w:t>
            </w:r>
          </w:p>
        </w:tc>
        <w:tc>
          <w:tcPr>
            <w:tcW w:w="4508" w:type="dxa"/>
          </w:tcPr>
          <w:p w14:paraId="2BE6B63A" w14:textId="4EFCA5C1" w:rsidR="007D57D2" w:rsidRPr="007D57D2" w:rsidRDefault="007D57D2" w:rsidP="007D57D2">
            <w:pPr>
              <w:jc w:val="both"/>
              <w:rPr>
                <w:rFonts w:asciiTheme="minorHAnsi" w:hAnsiTheme="minorHAnsi" w:cstheme="minorHAnsi"/>
                <w:b/>
                <w:bCs/>
                <w:sz w:val="22"/>
                <w:u w:val="single"/>
              </w:rPr>
            </w:pPr>
            <w:r w:rsidRPr="007D57D2">
              <w:rPr>
                <w:rFonts w:asciiTheme="minorHAnsi" w:hAnsiTheme="minorHAnsi" w:cstheme="minorHAnsi"/>
                <w:b/>
                <w:bCs/>
                <w:sz w:val="22"/>
                <w:u w:val="single"/>
              </w:rPr>
              <w:t xml:space="preserve">Inleiding voor de paragrafen 1 en 2 </w:t>
            </w:r>
          </w:p>
        </w:tc>
      </w:tr>
      <w:tr w:rsidR="00ED34AE" w:rsidRPr="007A377E" w14:paraId="4368BCEF" w14:textId="77777777" w:rsidTr="0025113D">
        <w:tc>
          <w:tcPr>
            <w:tcW w:w="4508" w:type="dxa"/>
          </w:tcPr>
          <w:p w14:paraId="7FE6D7FB" w14:textId="77777777" w:rsidR="00ED34AE" w:rsidRPr="007A377E" w:rsidRDefault="00ED34AE" w:rsidP="00ED34AE">
            <w:pPr>
              <w:rPr>
                <w:rFonts w:asciiTheme="minorHAnsi" w:hAnsiTheme="minorHAnsi" w:cstheme="minorHAnsi"/>
                <w:sz w:val="22"/>
              </w:rPr>
            </w:pPr>
          </w:p>
        </w:tc>
        <w:tc>
          <w:tcPr>
            <w:tcW w:w="4508" w:type="dxa"/>
          </w:tcPr>
          <w:p w14:paraId="55F8C349" w14:textId="77777777" w:rsidR="00ED34AE" w:rsidRPr="007A377E" w:rsidRDefault="00ED34AE" w:rsidP="00ED34AE">
            <w:pPr>
              <w:rPr>
                <w:rFonts w:asciiTheme="minorHAnsi" w:hAnsiTheme="minorHAnsi" w:cstheme="minorHAnsi"/>
                <w:sz w:val="22"/>
              </w:rPr>
            </w:pPr>
          </w:p>
        </w:tc>
      </w:tr>
      <w:tr w:rsidR="00ED34AE" w:rsidRPr="00326DA4" w14:paraId="766352FF" w14:textId="77777777" w:rsidTr="0025113D">
        <w:tc>
          <w:tcPr>
            <w:tcW w:w="4508" w:type="dxa"/>
          </w:tcPr>
          <w:p w14:paraId="48E1C285" w14:textId="576F6B30" w:rsidR="00ED34AE" w:rsidRPr="00FC36DF" w:rsidRDefault="00326DA4" w:rsidP="00FC36DF">
            <w:pPr>
              <w:jc w:val="both"/>
              <w:rPr>
                <w:rFonts w:asciiTheme="minorHAnsi" w:hAnsiTheme="minorHAnsi" w:cstheme="minorHAnsi"/>
                <w:sz w:val="22"/>
                <w:lang w:val="fr-BE"/>
              </w:rPr>
            </w:pPr>
            <w:r w:rsidRPr="00FC36DF">
              <w:rPr>
                <w:rFonts w:asciiTheme="minorHAnsi" w:hAnsiTheme="minorHAnsi" w:cstheme="minorHAnsi"/>
                <w:sz w:val="22"/>
                <w:lang w:val="fr-BE"/>
              </w:rPr>
              <w:t>Les paragraphes 1 et 2 du nouvel article 25/1 visent les infractions suivantes :</w:t>
            </w:r>
          </w:p>
        </w:tc>
        <w:tc>
          <w:tcPr>
            <w:tcW w:w="4508" w:type="dxa"/>
          </w:tcPr>
          <w:p w14:paraId="17F03D10" w14:textId="686FF36A" w:rsidR="00ED34AE" w:rsidRPr="00FC36DF" w:rsidRDefault="00326DA4" w:rsidP="00FC36DF">
            <w:pPr>
              <w:jc w:val="both"/>
              <w:rPr>
                <w:rFonts w:asciiTheme="minorHAnsi" w:hAnsiTheme="minorHAnsi" w:cstheme="minorHAnsi"/>
                <w:sz w:val="22"/>
              </w:rPr>
            </w:pPr>
            <w:r w:rsidRPr="00FC36DF">
              <w:rPr>
                <w:rFonts w:asciiTheme="minorHAnsi" w:hAnsiTheme="minorHAnsi" w:cstheme="minorHAnsi"/>
                <w:sz w:val="22"/>
              </w:rPr>
              <w:t>De paragrafen 1 en 2 van het nieuwe artikel 25/1 doelen op de volgende inbreuken:</w:t>
            </w:r>
          </w:p>
        </w:tc>
      </w:tr>
      <w:tr w:rsidR="007D57D2" w:rsidRPr="00326DA4" w14:paraId="44F03874" w14:textId="77777777" w:rsidTr="0025113D">
        <w:tc>
          <w:tcPr>
            <w:tcW w:w="4508" w:type="dxa"/>
          </w:tcPr>
          <w:p w14:paraId="6EC91E30" w14:textId="77777777" w:rsidR="007D57D2" w:rsidRPr="00FC36DF" w:rsidRDefault="007D57D2" w:rsidP="00FC36DF">
            <w:pPr>
              <w:jc w:val="both"/>
              <w:rPr>
                <w:rFonts w:asciiTheme="minorHAnsi" w:hAnsiTheme="minorHAnsi" w:cstheme="minorHAnsi"/>
                <w:sz w:val="22"/>
              </w:rPr>
            </w:pPr>
          </w:p>
        </w:tc>
        <w:tc>
          <w:tcPr>
            <w:tcW w:w="4508" w:type="dxa"/>
          </w:tcPr>
          <w:p w14:paraId="3497F71F" w14:textId="77777777" w:rsidR="007D57D2" w:rsidRPr="00FC36DF" w:rsidRDefault="007D57D2" w:rsidP="00FC36DF">
            <w:pPr>
              <w:jc w:val="both"/>
              <w:rPr>
                <w:rFonts w:asciiTheme="minorHAnsi" w:hAnsiTheme="minorHAnsi" w:cstheme="minorHAnsi"/>
                <w:sz w:val="22"/>
              </w:rPr>
            </w:pPr>
          </w:p>
        </w:tc>
      </w:tr>
      <w:tr w:rsidR="007D57D2" w:rsidRPr="00326DA4" w14:paraId="2F21C9A6" w14:textId="77777777" w:rsidTr="0025113D">
        <w:tc>
          <w:tcPr>
            <w:tcW w:w="4508" w:type="dxa"/>
          </w:tcPr>
          <w:p w14:paraId="4EB28BF6" w14:textId="4FB083BA" w:rsidR="007D57D2" w:rsidRPr="00FC36DF" w:rsidRDefault="00326DA4" w:rsidP="00FC36DF">
            <w:pPr>
              <w:pStyle w:val="Lijstalinea"/>
              <w:numPr>
                <w:ilvl w:val="0"/>
                <w:numId w:val="6"/>
              </w:numPr>
              <w:spacing w:before="0"/>
              <w:rPr>
                <w:rFonts w:asciiTheme="minorHAnsi" w:hAnsiTheme="minorHAnsi" w:cstheme="minorHAnsi"/>
                <w:lang w:val="fr-BE"/>
              </w:rPr>
            </w:pPr>
            <w:r w:rsidRPr="00FC36DF">
              <w:rPr>
                <w:rFonts w:asciiTheme="minorHAnsi" w:hAnsiTheme="minorHAnsi" w:cstheme="minorHAnsi"/>
                <w:i/>
                <w:iCs/>
                <w:lang w:val="fr-BE"/>
              </w:rPr>
              <w:t>Les infractions à l’article 145, § 3, de la loi du 13 juin 2005 relative aux communications électroniques, qui prévoit ce qui suit :  « § 3. Est punie d'une amende de 500 à 50 000 EUR et d'une peine d'emprisonnement d'un à quatre ans ou d'une de ces peines seulement :</w:t>
            </w:r>
          </w:p>
        </w:tc>
        <w:tc>
          <w:tcPr>
            <w:tcW w:w="4508" w:type="dxa"/>
          </w:tcPr>
          <w:p w14:paraId="32B043B2" w14:textId="4C4C79B4" w:rsidR="007D57D2" w:rsidRPr="003A24C7" w:rsidRDefault="00326DA4" w:rsidP="00FC36DF">
            <w:pPr>
              <w:pStyle w:val="Lijstalinea"/>
              <w:numPr>
                <w:ilvl w:val="0"/>
                <w:numId w:val="6"/>
              </w:numPr>
              <w:rPr>
                <w:rFonts w:asciiTheme="minorHAnsi" w:hAnsiTheme="minorHAnsi" w:cstheme="minorHAnsi"/>
                <w:i/>
                <w:iCs/>
                <w:lang w:val="nl-BE"/>
              </w:rPr>
            </w:pPr>
            <w:r w:rsidRPr="003A24C7">
              <w:rPr>
                <w:rFonts w:asciiTheme="minorHAnsi" w:hAnsiTheme="minorHAnsi" w:cstheme="minorHAnsi"/>
                <w:i/>
                <w:iCs/>
                <w:lang w:val="nl-BE"/>
              </w:rPr>
              <w:t>De inbreuken waarvan sprake in artikel 145, § 3, van de wet van 13 juni 2005 betreffende de elektronische communicatie, dat het volgende bepaalt:  "§ 3. Met een geldboete van 500 tot 50 000 EUR en met een gevangenisstraf van één tot vier jaar of met één van die straffen alleen wordt gestraft :</w:t>
            </w:r>
          </w:p>
        </w:tc>
      </w:tr>
      <w:tr w:rsidR="007D57D2" w:rsidRPr="00326DA4" w14:paraId="6A375162" w14:textId="77777777" w:rsidTr="0025113D">
        <w:tc>
          <w:tcPr>
            <w:tcW w:w="4508" w:type="dxa"/>
          </w:tcPr>
          <w:p w14:paraId="3E41B1CF" w14:textId="77777777" w:rsidR="007D57D2" w:rsidRPr="00FC36DF" w:rsidRDefault="007D57D2" w:rsidP="00FC36DF">
            <w:pPr>
              <w:jc w:val="both"/>
              <w:rPr>
                <w:rFonts w:asciiTheme="minorHAnsi" w:hAnsiTheme="minorHAnsi" w:cstheme="minorHAnsi"/>
                <w:sz w:val="22"/>
              </w:rPr>
            </w:pPr>
          </w:p>
        </w:tc>
        <w:tc>
          <w:tcPr>
            <w:tcW w:w="4508" w:type="dxa"/>
          </w:tcPr>
          <w:p w14:paraId="794F1721" w14:textId="77777777" w:rsidR="007D57D2" w:rsidRPr="00FC36DF" w:rsidRDefault="007D57D2" w:rsidP="00FC36DF">
            <w:pPr>
              <w:jc w:val="both"/>
              <w:rPr>
                <w:rFonts w:asciiTheme="minorHAnsi" w:hAnsiTheme="minorHAnsi" w:cstheme="minorHAnsi"/>
                <w:sz w:val="22"/>
              </w:rPr>
            </w:pPr>
          </w:p>
        </w:tc>
      </w:tr>
      <w:tr w:rsidR="007D57D2" w:rsidRPr="00326DA4" w14:paraId="2FEAFACE" w14:textId="77777777" w:rsidTr="0025113D">
        <w:tc>
          <w:tcPr>
            <w:tcW w:w="4508" w:type="dxa"/>
          </w:tcPr>
          <w:p w14:paraId="673A1B4E" w14:textId="4E537983" w:rsidR="007D57D2" w:rsidRPr="00FC36DF" w:rsidRDefault="00326DA4" w:rsidP="00FC36DF">
            <w:pPr>
              <w:pStyle w:val="Lijstalinea"/>
              <w:spacing w:before="0"/>
              <w:rPr>
                <w:rFonts w:asciiTheme="minorHAnsi" w:hAnsiTheme="minorHAnsi" w:cstheme="minorHAnsi"/>
                <w:i/>
                <w:iCs/>
                <w:lang w:val="fr-BE"/>
              </w:rPr>
            </w:pPr>
            <w:r w:rsidRPr="00FC36DF">
              <w:rPr>
                <w:rFonts w:asciiTheme="minorHAnsi" w:hAnsiTheme="minorHAnsi" w:cstheme="minorHAnsi"/>
                <w:i/>
                <w:iCs/>
                <w:lang w:val="fr-BE"/>
              </w:rPr>
              <w:t>1° la personne qui réalise frauduleusement des communications électroniques au moyen d'un réseau de communications électroniques afin de se procurer ou de procurer à autrui un avantage illicite;</w:t>
            </w:r>
          </w:p>
        </w:tc>
        <w:tc>
          <w:tcPr>
            <w:tcW w:w="4508" w:type="dxa"/>
          </w:tcPr>
          <w:p w14:paraId="3B365F18" w14:textId="4839F953" w:rsidR="007D57D2" w:rsidRPr="00FC36DF" w:rsidRDefault="00326DA4" w:rsidP="00FC36DF">
            <w:pPr>
              <w:pStyle w:val="Lijstalinea"/>
              <w:rPr>
                <w:rFonts w:asciiTheme="minorHAnsi" w:hAnsiTheme="minorHAnsi" w:cstheme="minorHAnsi"/>
                <w:lang w:val="nl-BE"/>
              </w:rPr>
            </w:pPr>
            <w:r w:rsidRPr="00FC36DF">
              <w:rPr>
                <w:rFonts w:asciiTheme="minorHAnsi" w:hAnsiTheme="minorHAnsi" w:cstheme="minorHAnsi"/>
                <w:i/>
                <w:iCs/>
                <w:lang w:val="nl-BE"/>
              </w:rPr>
              <w:t>1° de persoon, die op bedrieglijke wijze elektronische communicatie door middel van een elektronische-communicatienetwerk tot stand brengt, teneinde zichzelf of aan een andere persoon wederrechtelijk een voordeel te verschaffen;</w:t>
            </w:r>
          </w:p>
        </w:tc>
      </w:tr>
      <w:tr w:rsidR="007D57D2" w:rsidRPr="00326DA4" w14:paraId="485E99D8" w14:textId="77777777" w:rsidTr="0025113D">
        <w:tc>
          <w:tcPr>
            <w:tcW w:w="4508" w:type="dxa"/>
          </w:tcPr>
          <w:p w14:paraId="5556AD96" w14:textId="77777777" w:rsidR="007D57D2" w:rsidRPr="00FC36DF" w:rsidRDefault="007D57D2" w:rsidP="00FC36DF">
            <w:pPr>
              <w:jc w:val="both"/>
              <w:rPr>
                <w:rFonts w:asciiTheme="minorHAnsi" w:hAnsiTheme="minorHAnsi" w:cstheme="minorHAnsi"/>
                <w:sz w:val="22"/>
              </w:rPr>
            </w:pPr>
          </w:p>
        </w:tc>
        <w:tc>
          <w:tcPr>
            <w:tcW w:w="4508" w:type="dxa"/>
          </w:tcPr>
          <w:p w14:paraId="794E3545" w14:textId="77777777" w:rsidR="007D57D2" w:rsidRPr="00FC36DF" w:rsidRDefault="007D57D2" w:rsidP="00FC36DF">
            <w:pPr>
              <w:jc w:val="both"/>
              <w:rPr>
                <w:rFonts w:asciiTheme="minorHAnsi" w:hAnsiTheme="minorHAnsi" w:cstheme="minorHAnsi"/>
                <w:sz w:val="22"/>
              </w:rPr>
            </w:pPr>
          </w:p>
        </w:tc>
      </w:tr>
      <w:tr w:rsidR="007D57D2" w:rsidRPr="00326DA4" w14:paraId="291DB15C" w14:textId="77777777" w:rsidTr="0025113D">
        <w:tc>
          <w:tcPr>
            <w:tcW w:w="4508" w:type="dxa"/>
          </w:tcPr>
          <w:p w14:paraId="7040BE05" w14:textId="2FB63965" w:rsidR="007D57D2" w:rsidRPr="00FC36DF" w:rsidRDefault="00326DA4" w:rsidP="00FC36DF">
            <w:pPr>
              <w:pStyle w:val="Lijstalinea"/>
              <w:spacing w:before="0"/>
              <w:rPr>
                <w:rFonts w:asciiTheme="minorHAnsi" w:hAnsiTheme="minorHAnsi" w:cstheme="minorHAnsi"/>
                <w:i/>
                <w:iCs/>
                <w:lang w:val="nl-BE"/>
              </w:rPr>
            </w:pPr>
            <w:r w:rsidRPr="00FC36DF">
              <w:rPr>
                <w:rFonts w:asciiTheme="minorHAnsi" w:hAnsiTheme="minorHAnsi" w:cstheme="minorHAnsi"/>
                <w:i/>
                <w:iCs/>
                <w:lang w:val="nl-BE"/>
              </w:rPr>
              <w:t>  2° (</w:t>
            </w:r>
            <w:proofErr w:type="spellStart"/>
            <w:r w:rsidRPr="00FC36DF">
              <w:rPr>
                <w:rFonts w:asciiTheme="minorHAnsi" w:hAnsiTheme="minorHAnsi" w:cstheme="minorHAnsi"/>
                <w:i/>
                <w:iCs/>
                <w:lang w:val="nl-BE"/>
              </w:rPr>
              <w:t>abrogé</w:t>
            </w:r>
            <w:proofErr w:type="spellEnd"/>
            <w:r w:rsidRPr="00FC36DF">
              <w:rPr>
                <w:rFonts w:asciiTheme="minorHAnsi" w:hAnsiTheme="minorHAnsi" w:cstheme="minorHAnsi"/>
                <w:i/>
                <w:iCs/>
                <w:lang w:val="nl-BE"/>
              </w:rPr>
              <w:t>) ;</w:t>
            </w:r>
          </w:p>
        </w:tc>
        <w:tc>
          <w:tcPr>
            <w:tcW w:w="4508" w:type="dxa"/>
          </w:tcPr>
          <w:p w14:paraId="7EC6BBC0" w14:textId="0D62C4EE" w:rsidR="007D57D2" w:rsidRPr="00FC36DF" w:rsidRDefault="00326DA4" w:rsidP="00FC36DF">
            <w:pPr>
              <w:pStyle w:val="Lijstalinea"/>
              <w:rPr>
                <w:rFonts w:asciiTheme="minorHAnsi" w:hAnsiTheme="minorHAnsi" w:cstheme="minorHAnsi"/>
                <w:i/>
                <w:iCs/>
                <w:lang w:val="nl-BE"/>
              </w:rPr>
            </w:pPr>
            <w:r w:rsidRPr="00FC36DF">
              <w:rPr>
                <w:rFonts w:asciiTheme="minorHAnsi" w:hAnsiTheme="minorHAnsi" w:cstheme="minorHAnsi"/>
                <w:i/>
                <w:iCs/>
                <w:lang w:val="nl-BE"/>
              </w:rPr>
              <w:t>2° (opgeheven)</w:t>
            </w:r>
          </w:p>
        </w:tc>
      </w:tr>
      <w:tr w:rsidR="007D57D2" w:rsidRPr="00326DA4" w14:paraId="3E33C4AD" w14:textId="77777777" w:rsidTr="0025113D">
        <w:tc>
          <w:tcPr>
            <w:tcW w:w="4508" w:type="dxa"/>
          </w:tcPr>
          <w:p w14:paraId="7329CC98" w14:textId="77777777" w:rsidR="007D57D2" w:rsidRPr="00FC36DF" w:rsidRDefault="007D57D2" w:rsidP="00FC36DF">
            <w:pPr>
              <w:jc w:val="both"/>
              <w:rPr>
                <w:rFonts w:asciiTheme="minorHAnsi" w:hAnsiTheme="minorHAnsi" w:cstheme="minorHAnsi"/>
                <w:sz w:val="22"/>
                <w:lang w:val="fr-BE"/>
              </w:rPr>
            </w:pPr>
          </w:p>
        </w:tc>
        <w:tc>
          <w:tcPr>
            <w:tcW w:w="4508" w:type="dxa"/>
          </w:tcPr>
          <w:p w14:paraId="259AC993" w14:textId="77777777" w:rsidR="007D57D2" w:rsidRPr="00FC36DF" w:rsidRDefault="007D57D2" w:rsidP="00FC36DF">
            <w:pPr>
              <w:jc w:val="both"/>
              <w:rPr>
                <w:rFonts w:asciiTheme="minorHAnsi" w:hAnsiTheme="minorHAnsi" w:cstheme="minorHAnsi"/>
                <w:sz w:val="22"/>
                <w:lang w:val="fr-BE"/>
              </w:rPr>
            </w:pPr>
          </w:p>
        </w:tc>
      </w:tr>
      <w:tr w:rsidR="007D57D2" w:rsidRPr="00326DA4" w14:paraId="009ECFFA" w14:textId="77777777" w:rsidTr="0025113D">
        <w:tc>
          <w:tcPr>
            <w:tcW w:w="4508" w:type="dxa"/>
          </w:tcPr>
          <w:p w14:paraId="630CE422" w14:textId="69BC60C0" w:rsidR="007D57D2" w:rsidRPr="00FC36DF" w:rsidRDefault="00326DA4" w:rsidP="00FC36DF">
            <w:pPr>
              <w:pStyle w:val="Lijstalinea"/>
              <w:spacing w:before="0"/>
              <w:rPr>
                <w:rFonts w:asciiTheme="minorHAnsi" w:hAnsiTheme="minorHAnsi" w:cstheme="minorHAnsi"/>
                <w:i/>
                <w:iCs/>
                <w:lang w:val="fr-BE"/>
              </w:rPr>
            </w:pPr>
            <w:r w:rsidRPr="00FC36DF">
              <w:rPr>
                <w:rFonts w:asciiTheme="minorHAnsi" w:hAnsiTheme="minorHAnsi" w:cstheme="minorHAnsi"/>
                <w:i/>
                <w:iCs/>
                <w:lang w:val="fr-BE"/>
              </w:rPr>
              <w:t xml:space="preserve">3° la personne qui installe un appareil quelconque destiné à commettre une des infractions susmentionnées, ainsi que la tentative de commettre celles-ci. » ; </w:t>
            </w:r>
          </w:p>
        </w:tc>
        <w:tc>
          <w:tcPr>
            <w:tcW w:w="4508" w:type="dxa"/>
          </w:tcPr>
          <w:p w14:paraId="0098CA8A" w14:textId="0D5AA6C4" w:rsidR="007D57D2" w:rsidRPr="00FC36DF" w:rsidRDefault="00326DA4" w:rsidP="00FC36DF">
            <w:pPr>
              <w:pStyle w:val="Lijstalinea"/>
              <w:spacing w:before="0"/>
              <w:rPr>
                <w:rFonts w:asciiTheme="minorHAnsi" w:hAnsiTheme="minorHAnsi" w:cstheme="minorHAnsi"/>
                <w:i/>
                <w:iCs/>
                <w:lang w:val="nl-BE"/>
              </w:rPr>
            </w:pPr>
            <w:r w:rsidRPr="00FC36DF">
              <w:rPr>
                <w:rFonts w:asciiTheme="minorHAnsi" w:hAnsiTheme="minorHAnsi" w:cstheme="minorHAnsi"/>
                <w:i/>
                <w:lang w:val="nl-BE"/>
              </w:rPr>
              <w:t xml:space="preserve">3° de persoon die welk toestel dan ook opstelt dat bestemd is om een van de voorgaande inbreuken te begaan, alsook een poging om deze te begaan.”; </w:t>
            </w:r>
          </w:p>
        </w:tc>
      </w:tr>
      <w:tr w:rsidR="007D57D2" w:rsidRPr="00326DA4" w14:paraId="74E30B9F" w14:textId="77777777" w:rsidTr="0025113D">
        <w:tc>
          <w:tcPr>
            <w:tcW w:w="4508" w:type="dxa"/>
          </w:tcPr>
          <w:p w14:paraId="0D95C44A" w14:textId="77777777" w:rsidR="007D57D2" w:rsidRPr="00FC36DF" w:rsidRDefault="007D57D2" w:rsidP="00FC36DF">
            <w:pPr>
              <w:jc w:val="both"/>
              <w:rPr>
                <w:rFonts w:asciiTheme="minorHAnsi" w:hAnsiTheme="minorHAnsi" w:cstheme="minorHAnsi"/>
                <w:sz w:val="22"/>
              </w:rPr>
            </w:pPr>
          </w:p>
        </w:tc>
        <w:tc>
          <w:tcPr>
            <w:tcW w:w="4508" w:type="dxa"/>
          </w:tcPr>
          <w:p w14:paraId="45980ACC" w14:textId="77777777" w:rsidR="007D57D2" w:rsidRPr="00FC36DF" w:rsidRDefault="007D57D2" w:rsidP="00FC36DF">
            <w:pPr>
              <w:jc w:val="both"/>
              <w:rPr>
                <w:rFonts w:asciiTheme="minorHAnsi" w:hAnsiTheme="minorHAnsi" w:cstheme="minorHAnsi"/>
                <w:sz w:val="22"/>
              </w:rPr>
            </w:pPr>
          </w:p>
        </w:tc>
      </w:tr>
      <w:tr w:rsidR="007D57D2" w:rsidRPr="00326DA4" w14:paraId="7E9082ED" w14:textId="77777777" w:rsidTr="0025113D">
        <w:tc>
          <w:tcPr>
            <w:tcW w:w="4508" w:type="dxa"/>
          </w:tcPr>
          <w:p w14:paraId="11AFF07D" w14:textId="0C12B3A7" w:rsidR="00326DA4" w:rsidRPr="00FC36DF" w:rsidRDefault="00326DA4" w:rsidP="00FC36DF">
            <w:pPr>
              <w:pStyle w:val="Lijstalinea"/>
              <w:numPr>
                <w:ilvl w:val="0"/>
                <w:numId w:val="6"/>
              </w:numPr>
              <w:spacing w:before="0"/>
              <w:rPr>
                <w:rFonts w:asciiTheme="minorHAnsi" w:hAnsiTheme="minorHAnsi" w:cstheme="minorHAnsi"/>
                <w:lang w:val="fr-BE"/>
              </w:rPr>
            </w:pPr>
            <w:r w:rsidRPr="00FC36DF">
              <w:rPr>
                <w:rFonts w:asciiTheme="minorHAnsi" w:hAnsiTheme="minorHAnsi" w:cstheme="minorHAnsi"/>
                <w:i/>
                <w:iCs/>
                <w:lang w:val="fr-BE"/>
              </w:rPr>
              <w:t>Les infractions à l’article 145, § 3bis, de la loi du 13 juin 2005 relative aux communications électroniques, qui prévoit ce qui suit « </w:t>
            </w:r>
            <w:r w:rsidRPr="00FC36DF">
              <w:rPr>
                <w:rFonts w:asciiTheme="minorHAnsi" w:hAnsiTheme="minorHAnsi" w:cstheme="minorHAnsi"/>
                <w:i/>
                <w:iCs/>
                <w:color w:val="000000"/>
                <w:lang w:val="fr-BE"/>
              </w:rPr>
              <w:t>§ 3bis. Est punie d'une amende de 50 EUR à 300 EUR et d'un emprisonnement de quinze jours à deux ans ou d'une de ces peines seulement la personne qui utilise un réseau ou un service de communications électroniques ou d'autres moyens de communications électroniques afin d'importuner son correspondant ou de provoquer des dommages ainsi que la personne qui installe un appareil quelconque destiné à commettre l'infraction susmentionnée, ainsi que la tentative de commettre celle-ci.</w:t>
            </w:r>
            <w:r w:rsidRPr="00FC36DF">
              <w:rPr>
                <w:rFonts w:asciiTheme="minorHAnsi" w:hAnsiTheme="minorHAnsi" w:cstheme="minorHAnsi"/>
                <w:color w:val="000000"/>
                <w:lang w:val="fr-BE"/>
              </w:rPr>
              <w:t> »</w:t>
            </w:r>
          </w:p>
          <w:p w14:paraId="4541D8F5" w14:textId="77777777" w:rsidR="007D57D2" w:rsidRPr="00FC36DF" w:rsidRDefault="007D57D2" w:rsidP="00FC36DF">
            <w:pPr>
              <w:jc w:val="both"/>
              <w:rPr>
                <w:rFonts w:asciiTheme="minorHAnsi" w:hAnsiTheme="minorHAnsi" w:cstheme="minorHAnsi"/>
                <w:sz w:val="22"/>
                <w:lang w:val="fr-BE"/>
              </w:rPr>
            </w:pPr>
          </w:p>
        </w:tc>
        <w:tc>
          <w:tcPr>
            <w:tcW w:w="4508" w:type="dxa"/>
          </w:tcPr>
          <w:p w14:paraId="0A2D1523" w14:textId="218F79F8" w:rsidR="007D57D2" w:rsidRPr="00FC36DF" w:rsidRDefault="00326DA4" w:rsidP="00FC36DF">
            <w:pPr>
              <w:pStyle w:val="Lijstalinea"/>
              <w:numPr>
                <w:ilvl w:val="0"/>
                <w:numId w:val="6"/>
              </w:numPr>
              <w:spacing w:before="0"/>
              <w:rPr>
                <w:rFonts w:asciiTheme="minorHAnsi" w:hAnsiTheme="minorHAnsi" w:cstheme="minorHAnsi"/>
                <w:lang w:val="nl-BE"/>
              </w:rPr>
            </w:pPr>
            <w:r w:rsidRPr="00FC36DF">
              <w:rPr>
                <w:rFonts w:asciiTheme="minorHAnsi" w:hAnsiTheme="minorHAnsi" w:cstheme="minorHAnsi"/>
                <w:i/>
                <w:lang w:val="nl-BE"/>
              </w:rPr>
              <w:t>De inbreuken waarvan sprake in artikel 145, § 3bis, van de wet van 13 juni 2005 betreffende de elektronische communicatie, dat het volgende bepaalt: "</w:t>
            </w:r>
            <w:r w:rsidRPr="00FC36DF">
              <w:rPr>
                <w:rFonts w:asciiTheme="minorHAnsi" w:hAnsiTheme="minorHAnsi" w:cstheme="minorHAnsi"/>
                <w:i/>
                <w:color w:val="000000"/>
                <w:lang w:val="nl-BE"/>
              </w:rPr>
              <w:t xml:space="preserve">§ 3bis. </w:t>
            </w:r>
            <w:r w:rsidRPr="00FC36DF">
              <w:rPr>
                <w:rFonts w:asciiTheme="minorHAnsi" w:hAnsiTheme="minorHAnsi" w:cstheme="minorHAnsi"/>
                <w:i/>
                <w:lang w:val="nl-BE"/>
              </w:rPr>
              <w:t xml:space="preserve">Met een geldboete van </w:t>
            </w:r>
            <w:r w:rsidRPr="00FC36DF">
              <w:rPr>
                <w:rFonts w:asciiTheme="minorHAnsi" w:hAnsiTheme="minorHAnsi" w:cstheme="minorHAnsi"/>
                <w:i/>
                <w:color w:val="000000"/>
                <w:lang w:val="nl-BE"/>
              </w:rPr>
              <w:t xml:space="preserve">  50</w:t>
            </w:r>
            <w:r w:rsidRPr="00FC36DF">
              <w:rPr>
                <w:rFonts w:asciiTheme="minorHAnsi" w:hAnsiTheme="minorHAnsi" w:cstheme="minorHAnsi"/>
                <w:i/>
                <w:lang w:val="nl-BE"/>
              </w:rPr>
              <w:t xml:space="preserve"> EUR tot 300 EUR en met een gevangenisstraf van vijftien dagen tot twee jaar of met één van die straffen alleen worden gestraft de persoon, die een elektronische-communicatienetwerk of -dienst of andere elektronische communicatiemiddelen gebruikt om overlast te veroorzaken aan zijn correspondent of schade te berokkenen alsook de persoon die welk toestel dan ook opstelt dat bestemd is om de voorgaande inbreuk te begaan, alsook een poging om deze te begaan</w:t>
            </w:r>
            <w:r w:rsidRPr="00FC36DF">
              <w:rPr>
                <w:rFonts w:asciiTheme="minorHAnsi" w:hAnsiTheme="minorHAnsi" w:cstheme="minorHAnsi"/>
                <w:lang w:val="nl-BE"/>
              </w:rPr>
              <w:t>.”</w:t>
            </w:r>
          </w:p>
        </w:tc>
      </w:tr>
      <w:tr w:rsidR="007D57D2" w:rsidRPr="00326DA4" w14:paraId="13B4476E" w14:textId="77777777" w:rsidTr="0025113D">
        <w:tc>
          <w:tcPr>
            <w:tcW w:w="4508" w:type="dxa"/>
          </w:tcPr>
          <w:p w14:paraId="08FBCC8A" w14:textId="77777777" w:rsidR="007D57D2" w:rsidRPr="00FC36DF" w:rsidRDefault="007D57D2" w:rsidP="00FC36DF">
            <w:pPr>
              <w:jc w:val="both"/>
              <w:rPr>
                <w:rFonts w:asciiTheme="minorHAnsi" w:hAnsiTheme="minorHAnsi" w:cstheme="minorHAnsi"/>
                <w:sz w:val="22"/>
              </w:rPr>
            </w:pPr>
          </w:p>
        </w:tc>
        <w:tc>
          <w:tcPr>
            <w:tcW w:w="4508" w:type="dxa"/>
          </w:tcPr>
          <w:p w14:paraId="3EE28926" w14:textId="77777777" w:rsidR="007D57D2" w:rsidRPr="00FC36DF" w:rsidRDefault="007D57D2" w:rsidP="00FC36DF">
            <w:pPr>
              <w:jc w:val="both"/>
              <w:rPr>
                <w:rFonts w:asciiTheme="minorHAnsi" w:hAnsiTheme="minorHAnsi" w:cstheme="minorHAnsi"/>
                <w:sz w:val="22"/>
              </w:rPr>
            </w:pPr>
          </w:p>
        </w:tc>
      </w:tr>
      <w:tr w:rsidR="007D57D2" w:rsidRPr="00326DA4" w14:paraId="36082DE2" w14:textId="77777777" w:rsidTr="0025113D">
        <w:tc>
          <w:tcPr>
            <w:tcW w:w="4508" w:type="dxa"/>
          </w:tcPr>
          <w:p w14:paraId="06250B86" w14:textId="23989471" w:rsidR="007D57D2" w:rsidRPr="00FC36DF" w:rsidRDefault="00326DA4" w:rsidP="00FC36DF">
            <w:pPr>
              <w:pStyle w:val="Lijstalinea"/>
              <w:numPr>
                <w:ilvl w:val="0"/>
                <w:numId w:val="6"/>
              </w:numPr>
              <w:spacing w:before="0"/>
              <w:rPr>
                <w:rFonts w:asciiTheme="minorHAnsi" w:hAnsiTheme="minorHAnsi" w:cstheme="minorHAnsi"/>
                <w:lang w:val="fr-BE"/>
              </w:rPr>
            </w:pPr>
            <w:r w:rsidRPr="0033698A">
              <w:rPr>
                <w:rFonts w:asciiTheme="minorHAnsi" w:hAnsiTheme="minorHAnsi" w:cstheme="minorHAnsi"/>
                <w:lang w:val="fr-BE"/>
              </w:rPr>
              <w:t>Les infractions visées à l’article 24, § 1</w:t>
            </w:r>
            <w:r w:rsidRPr="0033698A">
              <w:rPr>
                <w:rFonts w:asciiTheme="minorHAnsi" w:hAnsiTheme="minorHAnsi" w:cstheme="minorHAnsi"/>
                <w:vertAlign w:val="superscript"/>
                <w:lang w:val="fr-BE"/>
              </w:rPr>
              <w:t>er</w:t>
            </w:r>
            <w:r w:rsidRPr="0033698A">
              <w:rPr>
                <w:rFonts w:asciiTheme="minorHAnsi" w:hAnsiTheme="minorHAnsi" w:cstheme="minorHAnsi"/>
                <w:lang w:val="fr-BE"/>
              </w:rPr>
              <w:t>, alinéa 1</w:t>
            </w:r>
            <w:r w:rsidRPr="0033698A">
              <w:rPr>
                <w:rFonts w:asciiTheme="minorHAnsi" w:hAnsiTheme="minorHAnsi" w:cstheme="minorHAnsi"/>
                <w:vertAlign w:val="superscript"/>
                <w:lang w:val="fr-BE"/>
              </w:rPr>
              <w:t>er</w:t>
            </w:r>
            <w:r w:rsidRPr="0033698A">
              <w:rPr>
                <w:rFonts w:asciiTheme="minorHAnsi" w:hAnsiTheme="minorHAnsi" w:cstheme="minorHAnsi"/>
                <w:lang w:val="fr-BE"/>
              </w:rPr>
              <w:t>, 2°, de la loi IBPT-statut, à savoir</w:t>
            </w:r>
            <w:r w:rsidRPr="00FC36DF">
              <w:rPr>
                <w:rFonts w:asciiTheme="minorHAnsi" w:hAnsiTheme="minorHAnsi" w:cstheme="minorHAnsi"/>
                <w:i/>
                <w:iCs/>
                <w:lang w:val="fr-BE"/>
              </w:rPr>
              <w:t xml:space="preserve"> « des infractions au Code pénal et aux lois spéciales lorsque les infractions sont commises au moyen d'équipements, de réseaux ou services de communications électroniques ou de radiocommunications au sens de la loi du 13 juin 2005 relative aux communications électroniques. »</w:t>
            </w:r>
          </w:p>
        </w:tc>
        <w:tc>
          <w:tcPr>
            <w:tcW w:w="4508" w:type="dxa"/>
          </w:tcPr>
          <w:p w14:paraId="5637CEDF" w14:textId="64EEC4CB" w:rsidR="007D57D2" w:rsidRPr="00FC36DF" w:rsidRDefault="00326DA4" w:rsidP="00FC36DF">
            <w:pPr>
              <w:pStyle w:val="Lijstalinea"/>
              <w:numPr>
                <w:ilvl w:val="0"/>
                <w:numId w:val="6"/>
              </w:numPr>
              <w:spacing w:before="0"/>
              <w:rPr>
                <w:rFonts w:asciiTheme="minorHAnsi" w:hAnsiTheme="minorHAnsi" w:cstheme="minorHAnsi"/>
                <w:lang w:val="nl-BE"/>
              </w:rPr>
            </w:pPr>
            <w:r w:rsidRPr="003A24C7">
              <w:rPr>
                <w:rFonts w:asciiTheme="minorHAnsi" w:hAnsiTheme="minorHAnsi" w:cstheme="minorHAnsi"/>
                <w:lang w:val="nl-BE"/>
              </w:rPr>
              <w:t>De inbreuken bedoeld in artikel 24, § 1, eerste lid, 2°, van de BIPT-statuutwet, namelijk</w:t>
            </w:r>
            <w:r w:rsidRPr="003A24C7">
              <w:rPr>
                <w:rFonts w:asciiTheme="minorHAnsi" w:hAnsiTheme="minorHAnsi" w:cstheme="minorHAnsi"/>
                <w:i/>
                <w:iCs/>
                <w:lang w:val="nl-BE"/>
              </w:rPr>
              <w:t xml:space="preserve"> “inbreuken op het Strafwetboek en op de bijzondere wetten wanneer die inbreuken worden gepleegd door middel van apparatuur, netwerken of diensten van elektronische communicatie of radiocommunicatie in de zin van de wet van 13 juni 2005 betreffende de elektronische communicatie.”</w:t>
            </w:r>
          </w:p>
        </w:tc>
      </w:tr>
      <w:tr w:rsidR="007D57D2" w:rsidRPr="00326DA4" w14:paraId="348094D3" w14:textId="77777777" w:rsidTr="0025113D">
        <w:tc>
          <w:tcPr>
            <w:tcW w:w="4508" w:type="dxa"/>
          </w:tcPr>
          <w:p w14:paraId="58B5A56F" w14:textId="77777777" w:rsidR="007D57D2" w:rsidRPr="00FC36DF" w:rsidRDefault="007D57D2" w:rsidP="00FC36DF">
            <w:pPr>
              <w:jc w:val="both"/>
              <w:rPr>
                <w:rFonts w:asciiTheme="minorHAnsi" w:hAnsiTheme="minorHAnsi" w:cstheme="minorHAnsi"/>
                <w:sz w:val="22"/>
              </w:rPr>
            </w:pPr>
          </w:p>
        </w:tc>
        <w:tc>
          <w:tcPr>
            <w:tcW w:w="4508" w:type="dxa"/>
          </w:tcPr>
          <w:p w14:paraId="4B988058" w14:textId="77777777" w:rsidR="007D57D2" w:rsidRPr="00FC36DF" w:rsidRDefault="007D57D2" w:rsidP="00FC36DF">
            <w:pPr>
              <w:jc w:val="both"/>
              <w:rPr>
                <w:rFonts w:asciiTheme="minorHAnsi" w:hAnsiTheme="minorHAnsi" w:cstheme="minorHAnsi"/>
                <w:sz w:val="22"/>
              </w:rPr>
            </w:pPr>
          </w:p>
        </w:tc>
      </w:tr>
      <w:tr w:rsidR="00326DA4" w:rsidRPr="00326DA4" w14:paraId="76C8B272" w14:textId="77777777" w:rsidTr="0025113D">
        <w:tc>
          <w:tcPr>
            <w:tcW w:w="4508" w:type="dxa"/>
          </w:tcPr>
          <w:p w14:paraId="43DA28DC" w14:textId="40DB59C8" w:rsidR="00326DA4" w:rsidRPr="00FC36DF" w:rsidRDefault="00326DA4" w:rsidP="00FC36DF">
            <w:pPr>
              <w:jc w:val="both"/>
              <w:rPr>
                <w:rFonts w:asciiTheme="minorHAnsi" w:hAnsiTheme="minorHAnsi" w:cstheme="minorHAnsi"/>
                <w:sz w:val="22"/>
                <w:lang w:val="fr-BE"/>
              </w:rPr>
            </w:pPr>
            <w:r w:rsidRPr="00FC36DF">
              <w:rPr>
                <w:rFonts w:asciiTheme="minorHAnsi" w:hAnsiTheme="minorHAnsi" w:cstheme="minorHAnsi"/>
                <w:sz w:val="22"/>
                <w:lang w:val="fr-BE"/>
              </w:rPr>
              <w:t>Toutes ces infractions ont en commun qu’elles sont commises à l’aide d’un réseau ou service de communications électroniques.</w:t>
            </w:r>
          </w:p>
        </w:tc>
        <w:tc>
          <w:tcPr>
            <w:tcW w:w="4508" w:type="dxa"/>
          </w:tcPr>
          <w:p w14:paraId="235E6155" w14:textId="3A102A58" w:rsidR="00326DA4" w:rsidRPr="00FC36DF" w:rsidRDefault="00326DA4" w:rsidP="00FC36DF">
            <w:pPr>
              <w:jc w:val="both"/>
              <w:rPr>
                <w:rFonts w:asciiTheme="minorHAnsi" w:hAnsiTheme="minorHAnsi" w:cstheme="minorHAnsi"/>
                <w:sz w:val="22"/>
              </w:rPr>
            </w:pPr>
            <w:r w:rsidRPr="00FC36DF">
              <w:rPr>
                <w:rFonts w:asciiTheme="minorHAnsi" w:hAnsiTheme="minorHAnsi" w:cstheme="minorHAnsi"/>
                <w:sz w:val="22"/>
              </w:rPr>
              <w:t>Al deze inbreuken hebben met elkaar gemeen dat ze worden gepleegd met behulp van een netwerk of dienst voor elektronische communicatie.</w:t>
            </w:r>
          </w:p>
        </w:tc>
      </w:tr>
      <w:tr w:rsidR="00326DA4" w:rsidRPr="00326DA4" w14:paraId="0AD01F7F" w14:textId="77777777" w:rsidTr="0025113D">
        <w:tc>
          <w:tcPr>
            <w:tcW w:w="4508" w:type="dxa"/>
          </w:tcPr>
          <w:p w14:paraId="544746E7" w14:textId="77777777" w:rsidR="00326DA4" w:rsidRPr="003A24C7" w:rsidRDefault="00326DA4" w:rsidP="00FC36DF">
            <w:pPr>
              <w:jc w:val="both"/>
              <w:rPr>
                <w:rFonts w:asciiTheme="minorHAnsi" w:hAnsiTheme="minorHAnsi" w:cstheme="minorHAnsi"/>
                <w:sz w:val="22"/>
              </w:rPr>
            </w:pPr>
          </w:p>
        </w:tc>
        <w:tc>
          <w:tcPr>
            <w:tcW w:w="4508" w:type="dxa"/>
          </w:tcPr>
          <w:p w14:paraId="4D77DFC3" w14:textId="77777777" w:rsidR="00326DA4" w:rsidRPr="00FC36DF" w:rsidRDefault="00326DA4" w:rsidP="00FC36DF">
            <w:pPr>
              <w:jc w:val="both"/>
              <w:rPr>
                <w:rFonts w:asciiTheme="minorHAnsi" w:hAnsiTheme="minorHAnsi" w:cstheme="minorHAnsi"/>
                <w:sz w:val="22"/>
              </w:rPr>
            </w:pPr>
          </w:p>
        </w:tc>
      </w:tr>
      <w:tr w:rsidR="00326DA4" w:rsidRPr="00326DA4" w14:paraId="75D3C3E7" w14:textId="77777777" w:rsidTr="0025113D">
        <w:tc>
          <w:tcPr>
            <w:tcW w:w="4508" w:type="dxa"/>
          </w:tcPr>
          <w:p w14:paraId="0C72C4F1" w14:textId="19353FE6" w:rsidR="00326DA4" w:rsidRPr="00FC36DF" w:rsidRDefault="00326DA4" w:rsidP="00FC36DF">
            <w:pPr>
              <w:jc w:val="both"/>
              <w:rPr>
                <w:rFonts w:asciiTheme="minorHAnsi" w:hAnsiTheme="minorHAnsi" w:cstheme="minorHAnsi"/>
                <w:sz w:val="22"/>
                <w:lang w:val="fr-BE"/>
              </w:rPr>
            </w:pPr>
            <w:r w:rsidRPr="00FC36DF">
              <w:rPr>
                <w:rFonts w:asciiTheme="minorHAnsi" w:hAnsiTheme="minorHAnsi" w:cstheme="minorHAnsi"/>
                <w:sz w:val="22"/>
                <w:lang w:val="fr-BE"/>
              </w:rPr>
              <w:t>Ces infractions incluent notamment les cas de  fraudes comme  par exemple le « smishing »  (ou hameçonnage par SMS) ou le « spoofing » (la personne appelée voit apparaître un numéro de téléphone qui ne correspond pas au numéro réel de l’appelant).</w:t>
            </w:r>
          </w:p>
        </w:tc>
        <w:tc>
          <w:tcPr>
            <w:tcW w:w="4508" w:type="dxa"/>
          </w:tcPr>
          <w:p w14:paraId="29F9F90A" w14:textId="2AE10A6F" w:rsidR="00326DA4" w:rsidRPr="00FC36DF" w:rsidRDefault="00326DA4" w:rsidP="00FC36DF">
            <w:pPr>
              <w:jc w:val="both"/>
              <w:rPr>
                <w:rFonts w:asciiTheme="minorHAnsi" w:hAnsiTheme="minorHAnsi" w:cstheme="minorHAnsi"/>
                <w:sz w:val="22"/>
              </w:rPr>
            </w:pPr>
            <w:r w:rsidRPr="00FC36DF">
              <w:rPr>
                <w:rFonts w:asciiTheme="minorHAnsi" w:hAnsiTheme="minorHAnsi" w:cstheme="minorHAnsi"/>
                <w:sz w:val="22"/>
              </w:rPr>
              <w:t>Bij deze inbreuken kan het gaan om fraude zoals “</w:t>
            </w:r>
            <w:proofErr w:type="spellStart"/>
            <w:r w:rsidRPr="00FC36DF">
              <w:rPr>
                <w:rFonts w:asciiTheme="minorHAnsi" w:hAnsiTheme="minorHAnsi" w:cstheme="minorHAnsi"/>
                <w:sz w:val="22"/>
              </w:rPr>
              <w:t>smishing</w:t>
            </w:r>
            <w:proofErr w:type="spellEnd"/>
            <w:r w:rsidRPr="00FC36DF">
              <w:rPr>
                <w:rFonts w:asciiTheme="minorHAnsi" w:hAnsiTheme="minorHAnsi" w:cstheme="minorHAnsi"/>
                <w:sz w:val="22"/>
              </w:rPr>
              <w:t xml:space="preserve">” (of </w:t>
            </w:r>
            <w:proofErr w:type="spellStart"/>
            <w:r w:rsidRPr="00FC36DF">
              <w:rPr>
                <w:rFonts w:asciiTheme="minorHAnsi" w:hAnsiTheme="minorHAnsi" w:cstheme="minorHAnsi"/>
                <w:sz w:val="22"/>
              </w:rPr>
              <w:t>phishing</w:t>
            </w:r>
            <w:proofErr w:type="spellEnd"/>
            <w:r w:rsidRPr="00FC36DF">
              <w:rPr>
                <w:rFonts w:asciiTheme="minorHAnsi" w:hAnsiTheme="minorHAnsi" w:cstheme="minorHAnsi"/>
                <w:sz w:val="22"/>
              </w:rPr>
              <w:t xml:space="preserve"> via sms) of “</w:t>
            </w:r>
            <w:proofErr w:type="spellStart"/>
            <w:r w:rsidRPr="00FC36DF">
              <w:rPr>
                <w:rFonts w:asciiTheme="minorHAnsi" w:hAnsiTheme="minorHAnsi" w:cstheme="minorHAnsi"/>
                <w:sz w:val="22"/>
              </w:rPr>
              <w:t>spoofing</w:t>
            </w:r>
            <w:proofErr w:type="spellEnd"/>
            <w:r w:rsidRPr="00FC36DF">
              <w:rPr>
                <w:rFonts w:asciiTheme="minorHAnsi" w:hAnsiTheme="minorHAnsi" w:cstheme="minorHAnsi"/>
                <w:sz w:val="22"/>
              </w:rPr>
              <w:t>” (de opgebelde persoon krijgt een telefoonnummer te zien dat niet overeenstemt met het werkelijke nummer van de beller).</w:t>
            </w:r>
          </w:p>
        </w:tc>
      </w:tr>
      <w:tr w:rsidR="00326DA4" w:rsidRPr="00326DA4" w14:paraId="2686EBB5" w14:textId="77777777" w:rsidTr="0025113D">
        <w:tc>
          <w:tcPr>
            <w:tcW w:w="4508" w:type="dxa"/>
          </w:tcPr>
          <w:p w14:paraId="53A4A28F" w14:textId="77777777" w:rsidR="00326DA4" w:rsidRPr="003A24C7" w:rsidRDefault="00326DA4" w:rsidP="00FC36DF">
            <w:pPr>
              <w:jc w:val="both"/>
              <w:rPr>
                <w:rFonts w:asciiTheme="minorHAnsi" w:hAnsiTheme="minorHAnsi" w:cstheme="minorHAnsi"/>
                <w:sz w:val="22"/>
              </w:rPr>
            </w:pPr>
          </w:p>
        </w:tc>
        <w:tc>
          <w:tcPr>
            <w:tcW w:w="4508" w:type="dxa"/>
          </w:tcPr>
          <w:p w14:paraId="6DFD392A" w14:textId="77777777" w:rsidR="00326DA4" w:rsidRPr="00FC36DF" w:rsidRDefault="00326DA4" w:rsidP="00FC36DF">
            <w:pPr>
              <w:jc w:val="both"/>
              <w:rPr>
                <w:rFonts w:asciiTheme="minorHAnsi" w:hAnsiTheme="minorHAnsi" w:cstheme="minorHAnsi"/>
                <w:sz w:val="22"/>
              </w:rPr>
            </w:pPr>
          </w:p>
        </w:tc>
      </w:tr>
      <w:tr w:rsidR="00326DA4" w:rsidRPr="00326DA4" w14:paraId="25547F3F" w14:textId="77777777" w:rsidTr="0025113D">
        <w:tc>
          <w:tcPr>
            <w:tcW w:w="4508" w:type="dxa"/>
          </w:tcPr>
          <w:p w14:paraId="580F7BDD" w14:textId="165A20CA" w:rsidR="00326DA4" w:rsidRPr="00FC36DF" w:rsidRDefault="00326DA4" w:rsidP="00FC36DF">
            <w:pPr>
              <w:jc w:val="both"/>
              <w:rPr>
                <w:rFonts w:asciiTheme="minorHAnsi" w:hAnsiTheme="minorHAnsi" w:cstheme="minorHAnsi"/>
                <w:sz w:val="22"/>
                <w:lang w:val="fr-BE"/>
              </w:rPr>
            </w:pPr>
            <w:r w:rsidRPr="00FC36DF">
              <w:rPr>
                <w:rFonts w:asciiTheme="minorHAnsi" w:hAnsiTheme="minorHAnsi" w:cstheme="minorHAnsi"/>
                <w:sz w:val="22"/>
                <w:lang w:val="fr-BE"/>
              </w:rPr>
              <w:t>Pour l’application de l’article 25/1, paragraphes 1 et 2, il convient de rappeler que le Code pénal est assimilé à une loi.</w:t>
            </w:r>
          </w:p>
        </w:tc>
        <w:tc>
          <w:tcPr>
            <w:tcW w:w="4508" w:type="dxa"/>
          </w:tcPr>
          <w:p w14:paraId="650FAC5E" w14:textId="1AA89E68" w:rsidR="00326DA4" w:rsidRPr="00FC36DF" w:rsidRDefault="00326DA4" w:rsidP="00FC36DF">
            <w:pPr>
              <w:jc w:val="both"/>
              <w:rPr>
                <w:rFonts w:asciiTheme="minorHAnsi" w:hAnsiTheme="minorHAnsi" w:cstheme="minorHAnsi"/>
                <w:sz w:val="22"/>
              </w:rPr>
            </w:pPr>
            <w:r w:rsidRPr="00FC36DF">
              <w:rPr>
                <w:rFonts w:asciiTheme="minorHAnsi" w:hAnsiTheme="minorHAnsi" w:cstheme="minorHAnsi"/>
                <w:sz w:val="22"/>
              </w:rPr>
              <w:t>Voor de toepassing van artikel 25/1, de paragrafen 1 en 2, moet eraan worden herinnerd dat het Strafwetboek wordt gelijkgesteld met een wet.</w:t>
            </w:r>
          </w:p>
        </w:tc>
      </w:tr>
      <w:tr w:rsidR="00326DA4" w:rsidRPr="00326DA4" w14:paraId="3D70E52F" w14:textId="77777777" w:rsidTr="0025113D">
        <w:tc>
          <w:tcPr>
            <w:tcW w:w="4508" w:type="dxa"/>
          </w:tcPr>
          <w:p w14:paraId="325483A7" w14:textId="77777777" w:rsidR="00326DA4" w:rsidRPr="00FC36DF" w:rsidRDefault="00326DA4" w:rsidP="00FC36DF">
            <w:pPr>
              <w:jc w:val="both"/>
              <w:rPr>
                <w:rFonts w:asciiTheme="minorHAnsi" w:hAnsiTheme="minorHAnsi" w:cstheme="minorHAnsi"/>
                <w:sz w:val="22"/>
              </w:rPr>
            </w:pPr>
          </w:p>
        </w:tc>
        <w:tc>
          <w:tcPr>
            <w:tcW w:w="4508" w:type="dxa"/>
          </w:tcPr>
          <w:p w14:paraId="6F4B7914" w14:textId="77777777" w:rsidR="00326DA4" w:rsidRPr="00FC36DF" w:rsidRDefault="00326DA4" w:rsidP="00FC36DF">
            <w:pPr>
              <w:jc w:val="both"/>
              <w:rPr>
                <w:rFonts w:asciiTheme="minorHAnsi" w:hAnsiTheme="minorHAnsi" w:cstheme="minorHAnsi"/>
                <w:sz w:val="22"/>
              </w:rPr>
            </w:pPr>
          </w:p>
        </w:tc>
      </w:tr>
      <w:tr w:rsidR="00326DA4" w:rsidRPr="00326DA4" w14:paraId="34BE4279" w14:textId="77777777" w:rsidTr="0025113D">
        <w:tc>
          <w:tcPr>
            <w:tcW w:w="4508" w:type="dxa"/>
          </w:tcPr>
          <w:p w14:paraId="150A338E" w14:textId="77777777" w:rsidR="00326DA4" w:rsidRPr="00FC36DF" w:rsidRDefault="00326DA4" w:rsidP="00FC36DF">
            <w:pPr>
              <w:jc w:val="both"/>
              <w:rPr>
                <w:rFonts w:asciiTheme="minorHAnsi" w:hAnsiTheme="minorHAnsi" w:cstheme="minorHAnsi"/>
                <w:sz w:val="22"/>
                <w:lang w:val="fr-FR"/>
              </w:rPr>
            </w:pPr>
            <w:r w:rsidRPr="00FC36DF">
              <w:rPr>
                <w:rFonts w:asciiTheme="minorHAnsi" w:hAnsiTheme="minorHAnsi" w:cstheme="minorHAnsi"/>
                <w:sz w:val="22"/>
                <w:lang w:val="fr-FR"/>
              </w:rPr>
              <w:t xml:space="preserve">Les procédures prévues aux paragraphes 1 et 2 de l’article 25/1 de la loi IBPT-statut en cas d’infraction à l’article 145, § 3 ou § 3bis, de la loi du 13 juin 2005 relative aux communications électroniques ou à l’article 24, § 1er, 2°, de la loi IBPT-statut, sont sans préjudice de l’application des règles classiques du Code d’instruction criminelle. </w:t>
            </w:r>
          </w:p>
          <w:p w14:paraId="2F150BB9" w14:textId="77777777" w:rsidR="00326DA4" w:rsidRPr="00FC36DF" w:rsidRDefault="00326DA4" w:rsidP="00FC36DF">
            <w:pPr>
              <w:jc w:val="both"/>
              <w:rPr>
                <w:rFonts w:asciiTheme="minorHAnsi" w:hAnsiTheme="minorHAnsi" w:cstheme="minorHAnsi"/>
                <w:sz w:val="22"/>
                <w:lang w:val="fr-FR"/>
              </w:rPr>
            </w:pPr>
          </w:p>
        </w:tc>
        <w:tc>
          <w:tcPr>
            <w:tcW w:w="4508" w:type="dxa"/>
          </w:tcPr>
          <w:p w14:paraId="556F9544" w14:textId="76C63FF1" w:rsidR="00326DA4" w:rsidRPr="00FC36DF" w:rsidRDefault="00326DA4" w:rsidP="00FC36DF">
            <w:pPr>
              <w:jc w:val="both"/>
              <w:rPr>
                <w:rFonts w:asciiTheme="minorHAnsi" w:hAnsiTheme="minorHAnsi" w:cstheme="minorHAnsi"/>
                <w:sz w:val="22"/>
              </w:rPr>
            </w:pPr>
            <w:r w:rsidRPr="00FC36DF">
              <w:rPr>
                <w:rFonts w:asciiTheme="minorHAnsi" w:hAnsiTheme="minorHAnsi" w:cstheme="minorHAnsi"/>
                <w:sz w:val="22"/>
              </w:rPr>
              <w:t xml:space="preserve">De procedures die zijn vastgesteld in de paragrafen 1 en 2 van artikel 25/1 van de BIPT-statuutwet in geval van inbreuk op artikel 145, § 3 of § 3bis, van de wet van 13 juni 2005 betreffende de elektronische communicatie of op artikel 24, § 1, 2°, van de BIPT-statuutwet, doen geen afbreuk aan de toepassing van de klassieke regels van het Wetboek van Strafvordering. </w:t>
            </w:r>
          </w:p>
        </w:tc>
      </w:tr>
      <w:tr w:rsidR="00326DA4" w:rsidRPr="00326DA4" w14:paraId="48B18B5D" w14:textId="77777777" w:rsidTr="0025113D">
        <w:tc>
          <w:tcPr>
            <w:tcW w:w="4508" w:type="dxa"/>
          </w:tcPr>
          <w:p w14:paraId="0208DD99" w14:textId="77777777" w:rsidR="00326DA4" w:rsidRPr="00FC36DF" w:rsidRDefault="00326DA4" w:rsidP="00FC36DF">
            <w:pPr>
              <w:jc w:val="both"/>
              <w:rPr>
                <w:rFonts w:asciiTheme="minorHAnsi" w:hAnsiTheme="minorHAnsi" w:cstheme="minorHAnsi"/>
                <w:sz w:val="22"/>
              </w:rPr>
            </w:pPr>
          </w:p>
        </w:tc>
        <w:tc>
          <w:tcPr>
            <w:tcW w:w="4508" w:type="dxa"/>
          </w:tcPr>
          <w:p w14:paraId="2929EE8E" w14:textId="77777777" w:rsidR="00326DA4" w:rsidRPr="00FC36DF" w:rsidRDefault="00326DA4" w:rsidP="00FC36DF">
            <w:pPr>
              <w:jc w:val="both"/>
              <w:rPr>
                <w:rFonts w:asciiTheme="minorHAnsi" w:hAnsiTheme="minorHAnsi" w:cstheme="minorHAnsi"/>
                <w:sz w:val="22"/>
              </w:rPr>
            </w:pPr>
          </w:p>
        </w:tc>
      </w:tr>
      <w:tr w:rsidR="00326DA4" w:rsidRPr="00326DA4" w14:paraId="163BE485" w14:textId="77777777" w:rsidTr="0025113D">
        <w:tc>
          <w:tcPr>
            <w:tcW w:w="4508" w:type="dxa"/>
          </w:tcPr>
          <w:p w14:paraId="5E3C4E18" w14:textId="3DF6527C" w:rsidR="00326DA4" w:rsidRPr="00FC36DF" w:rsidRDefault="00326DA4" w:rsidP="00FC36DF">
            <w:pPr>
              <w:jc w:val="both"/>
              <w:rPr>
                <w:rFonts w:asciiTheme="minorHAnsi" w:hAnsiTheme="minorHAnsi" w:cstheme="minorHAnsi"/>
                <w:sz w:val="22"/>
                <w:lang w:val="fr-BE"/>
              </w:rPr>
            </w:pPr>
            <w:r w:rsidRPr="00FC36DF">
              <w:rPr>
                <w:rFonts w:asciiTheme="minorHAnsi" w:hAnsiTheme="minorHAnsi" w:cstheme="minorHAnsi"/>
                <w:sz w:val="22"/>
                <w:lang w:val="fr-FR"/>
              </w:rPr>
              <w:t>En effet, il reste toujours possible pour ce type d’infraction de mettre en œuvre le Code d’instruction criminelle (réquisitoire du procureur du Roi pour ce qui concerne les données relatives à l’abonné ou à l’utilisateur habituel du service et réquisitoire du juge d’instruction pour ce qui concerne les métadonnées). Cela se comprend dès lors que les OPJ de l’IBPT ne sont pas les seuls à pouvoir dresser un procès-verbal pour les infractions précitées.</w:t>
            </w:r>
          </w:p>
        </w:tc>
        <w:tc>
          <w:tcPr>
            <w:tcW w:w="4508" w:type="dxa"/>
          </w:tcPr>
          <w:p w14:paraId="4A8CCA5B" w14:textId="142A5164" w:rsidR="00326DA4" w:rsidRPr="00FC36DF" w:rsidRDefault="00326DA4" w:rsidP="00FC36DF">
            <w:pPr>
              <w:jc w:val="both"/>
              <w:rPr>
                <w:rFonts w:asciiTheme="minorHAnsi" w:hAnsiTheme="minorHAnsi" w:cstheme="minorHAnsi"/>
                <w:sz w:val="22"/>
              </w:rPr>
            </w:pPr>
            <w:r w:rsidRPr="00FC36DF">
              <w:rPr>
                <w:rFonts w:asciiTheme="minorHAnsi" w:hAnsiTheme="minorHAnsi" w:cstheme="minorHAnsi"/>
                <w:sz w:val="22"/>
              </w:rPr>
              <w:t xml:space="preserve">Voor dit soort van inbreuken blijft het immers altijd mogelijk om een beroep te doen op het Wetboek van Strafvordering (vordering van de procureur des Konings wat betreft de gegevens in verband met de abonnee of de gewoonlijke gebruiker van de dienst en vordering van de onderzoeksrechter wat betreft de metagegevens). Dat is te begrijpen doordat de </w:t>
            </w:r>
            <w:proofErr w:type="spellStart"/>
            <w:r w:rsidRPr="00FC36DF">
              <w:rPr>
                <w:rFonts w:asciiTheme="minorHAnsi" w:hAnsiTheme="minorHAnsi" w:cstheme="minorHAnsi"/>
                <w:sz w:val="22"/>
              </w:rPr>
              <w:t>OGP's</w:t>
            </w:r>
            <w:proofErr w:type="spellEnd"/>
            <w:r w:rsidRPr="00FC36DF">
              <w:rPr>
                <w:rFonts w:asciiTheme="minorHAnsi" w:hAnsiTheme="minorHAnsi" w:cstheme="minorHAnsi"/>
                <w:sz w:val="22"/>
              </w:rPr>
              <w:t xml:space="preserve"> van het BIPT niet de enigen zijn die een proces-verbaal mogen opstellen voor de voormelde inbreuken.</w:t>
            </w:r>
          </w:p>
        </w:tc>
      </w:tr>
      <w:tr w:rsidR="00326DA4" w:rsidRPr="00326DA4" w14:paraId="06C3D1EC" w14:textId="77777777" w:rsidTr="0025113D">
        <w:tc>
          <w:tcPr>
            <w:tcW w:w="4508" w:type="dxa"/>
          </w:tcPr>
          <w:p w14:paraId="0269C54E" w14:textId="77777777" w:rsidR="00326DA4" w:rsidRPr="00FC36DF" w:rsidRDefault="00326DA4" w:rsidP="00FC36DF">
            <w:pPr>
              <w:jc w:val="both"/>
              <w:rPr>
                <w:rFonts w:asciiTheme="minorHAnsi" w:hAnsiTheme="minorHAnsi" w:cstheme="minorHAnsi"/>
                <w:sz w:val="22"/>
              </w:rPr>
            </w:pPr>
          </w:p>
        </w:tc>
        <w:tc>
          <w:tcPr>
            <w:tcW w:w="4508" w:type="dxa"/>
          </w:tcPr>
          <w:p w14:paraId="2EC2EB26" w14:textId="77777777" w:rsidR="00326DA4" w:rsidRPr="00FC36DF" w:rsidRDefault="00326DA4" w:rsidP="00FC36DF">
            <w:pPr>
              <w:jc w:val="both"/>
              <w:rPr>
                <w:rFonts w:asciiTheme="minorHAnsi" w:hAnsiTheme="minorHAnsi" w:cstheme="minorHAnsi"/>
                <w:sz w:val="22"/>
              </w:rPr>
            </w:pPr>
          </w:p>
        </w:tc>
      </w:tr>
      <w:tr w:rsidR="00326DA4" w:rsidRPr="00326DA4" w14:paraId="27625258" w14:textId="77777777" w:rsidTr="0025113D">
        <w:tc>
          <w:tcPr>
            <w:tcW w:w="4508" w:type="dxa"/>
          </w:tcPr>
          <w:p w14:paraId="21590F4C" w14:textId="6A9830B2" w:rsidR="00326DA4" w:rsidRPr="00FC36DF" w:rsidRDefault="00326DA4" w:rsidP="00FC36DF">
            <w:pPr>
              <w:jc w:val="both"/>
              <w:rPr>
                <w:rFonts w:asciiTheme="minorHAnsi" w:hAnsiTheme="minorHAnsi" w:cstheme="minorHAnsi"/>
                <w:sz w:val="22"/>
                <w:lang w:val="fr-BE"/>
              </w:rPr>
            </w:pPr>
            <w:r w:rsidRPr="00FC36DF">
              <w:rPr>
                <w:rFonts w:asciiTheme="minorHAnsi" w:hAnsiTheme="minorHAnsi" w:cstheme="minorHAnsi"/>
                <w:sz w:val="22"/>
                <w:lang w:val="fr-BE"/>
              </w:rPr>
              <w:t>Dans un souci d’efficacité et lorsqu’un opérateur informe l’IBPT d’une infraction potentielle à une loi visée à l’article 24, paragraphe 1</w:t>
            </w:r>
            <w:r w:rsidRPr="00FC36DF">
              <w:rPr>
                <w:rFonts w:asciiTheme="minorHAnsi" w:hAnsiTheme="minorHAnsi" w:cstheme="minorHAnsi"/>
                <w:sz w:val="22"/>
                <w:vertAlign w:val="superscript"/>
                <w:lang w:val="fr-BE"/>
              </w:rPr>
              <w:t>er</w:t>
            </w:r>
            <w:r w:rsidRPr="00FC36DF">
              <w:rPr>
                <w:rFonts w:asciiTheme="minorHAnsi" w:hAnsiTheme="minorHAnsi" w:cstheme="minorHAnsi"/>
                <w:sz w:val="22"/>
                <w:lang w:val="fr-BE"/>
              </w:rPr>
              <w:t>, il est essentiel que l’opérateur lui communique dès le départ les données d’identification et les métadonnées qui sont nécessaires pour que les officiers de police judiciaire de l’IBPT puissent rechercher, constater ou poursuivre cette infraction.</w:t>
            </w:r>
          </w:p>
        </w:tc>
        <w:tc>
          <w:tcPr>
            <w:tcW w:w="4508" w:type="dxa"/>
          </w:tcPr>
          <w:p w14:paraId="70AC91CD" w14:textId="6E3A57DA" w:rsidR="00326DA4" w:rsidRPr="00FC36DF" w:rsidRDefault="00326DA4" w:rsidP="00FC36DF">
            <w:pPr>
              <w:jc w:val="both"/>
              <w:rPr>
                <w:rFonts w:asciiTheme="minorHAnsi" w:hAnsiTheme="minorHAnsi" w:cstheme="minorHAnsi"/>
                <w:sz w:val="22"/>
              </w:rPr>
            </w:pPr>
            <w:r w:rsidRPr="00FC36DF">
              <w:rPr>
                <w:rFonts w:asciiTheme="minorHAnsi" w:hAnsiTheme="minorHAnsi" w:cstheme="minorHAnsi"/>
                <w:sz w:val="22"/>
              </w:rPr>
              <w:t xml:space="preserve">Ter wille van de efficiëntie en wanneer een operator het BIPT op de hoogte brengt van een potentiële inbreuk op een wet bedoeld in artikel 24, paragraaf 1, is het van fundamenteel belang dat de operator meteen de identificatie- en metagegevens eraan meedeelt die nodig zijn opdat de </w:t>
            </w:r>
            <w:r w:rsidR="00D72BC2" w:rsidRPr="00FC36DF">
              <w:rPr>
                <w:rFonts w:asciiTheme="minorHAnsi" w:hAnsiTheme="minorHAnsi" w:cstheme="minorHAnsi"/>
                <w:sz w:val="22"/>
              </w:rPr>
              <w:t>officier</w:t>
            </w:r>
            <w:r w:rsidR="00D72BC2">
              <w:rPr>
                <w:rFonts w:asciiTheme="minorHAnsi" w:hAnsiTheme="minorHAnsi" w:cstheme="minorHAnsi"/>
                <w:sz w:val="22"/>
              </w:rPr>
              <w:t>en</w:t>
            </w:r>
            <w:r w:rsidR="00D72BC2" w:rsidRPr="00FC36DF">
              <w:rPr>
                <w:rFonts w:asciiTheme="minorHAnsi" w:hAnsiTheme="minorHAnsi" w:cstheme="minorHAnsi"/>
                <w:sz w:val="22"/>
              </w:rPr>
              <w:t xml:space="preserve"> </w:t>
            </w:r>
            <w:r w:rsidRPr="00FC36DF">
              <w:rPr>
                <w:rFonts w:asciiTheme="minorHAnsi" w:hAnsiTheme="minorHAnsi" w:cstheme="minorHAnsi"/>
                <w:sz w:val="22"/>
              </w:rPr>
              <w:t>van gerechtelijke politie van het BIPT die inbreuk kunnen opsporen, vaststellen of vervolgen.</w:t>
            </w:r>
          </w:p>
        </w:tc>
      </w:tr>
      <w:tr w:rsidR="00326DA4" w:rsidRPr="00326DA4" w14:paraId="7F7CF58E" w14:textId="77777777" w:rsidTr="0025113D">
        <w:tc>
          <w:tcPr>
            <w:tcW w:w="4508" w:type="dxa"/>
          </w:tcPr>
          <w:p w14:paraId="01FDD0F7" w14:textId="77777777" w:rsidR="00326DA4" w:rsidRPr="00326DA4" w:rsidRDefault="00326DA4" w:rsidP="00326DA4">
            <w:pPr>
              <w:jc w:val="both"/>
              <w:rPr>
                <w:rFonts w:asciiTheme="minorHAnsi" w:hAnsiTheme="minorHAnsi" w:cstheme="minorHAnsi"/>
                <w:sz w:val="22"/>
              </w:rPr>
            </w:pPr>
          </w:p>
        </w:tc>
        <w:tc>
          <w:tcPr>
            <w:tcW w:w="4508" w:type="dxa"/>
          </w:tcPr>
          <w:p w14:paraId="014642CA" w14:textId="77777777" w:rsidR="00326DA4" w:rsidRPr="00326DA4" w:rsidRDefault="00326DA4" w:rsidP="00326DA4">
            <w:pPr>
              <w:jc w:val="both"/>
              <w:rPr>
                <w:rFonts w:asciiTheme="minorHAnsi" w:hAnsiTheme="minorHAnsi" w:cstheme="minorHAnsi"/>
                <w:sz w:val="22"/>
              </w:rPr>
            </w:pPr>
          </w:p>
        </w:tc>
      </w:tr>
      <w:tr w:rsidR="00326DA4" w:rsidRPr="00326DA4" w14:paraId="193D60E7" w14:textId="77777777" w:rsidTr="0025113D">
        <w:tc>
          <w:tcPr>
            <w:tcW w:w="4508" w:type="dxa"/>
          </w:tcPr>
          <w:p w14:paraId="77E545EF" w14:textId="4E4AC18C" w:rsidR="00326DA4" w:rsidRPr="00FC36DF" w:rsidRDefault="00326DA4" w:rsidP="00FC36DF">
            <w:pPr>
              <w:jc w:val="both"/>
              <w:rPr>
                <w:rFonts w:asciiTheme="minorHAnsi" w:hAnsiTheme="minorHAnsi" w:cstheme="minorHAnsi"/>
                <w:sz w:val="22"/>
                <w:lang w:val="fr-BE"/>
              </w:rPr>
            </w:pPr>
            <w:r w:rsidRPr="00FC36DF">
              <w:rPr>
                <w:rFonts w:asciiTheme="minorHAnsi" w:hAnsiTheme="minorHAnsi" w:cstheme="minorHAnsi"/>
                <w:b/>
                <w:sz w:val="22"/>
                <w:u w:val="single"/>
                <w:lang w:val="fr-BE"/>
              </w:rPr>
              <w:t xml:space="preserve">Paragraphe 1 : la demande de données relatives à l’abonné ou à l’utilisateur </w:t>
            </w:r>
            <w:r w:rsidRPr="00FC36DF">
              <w:rPr>
                <w:rFonts w:asciiTheme="minorHAnsi" w:hAnsiTheme="minorHAnsi" w:cstheme="minorHAnsi"/>
                <w:b/>
                <w:bCs/>
                <w:sz w:val="22"/>
                <w:u w:val="single"/>
                <w:lang w:val="fr-BE"/>
              </w:rPr>
              <w:t xml:space="preserve">habituel du service </w:t>
            </w:r>
          </w:p>
        </w:tc>
        <w:tc>
          <w:tcPr>
            <w:tcW w:w="4508" w:type="dxa"/>
          </w:tcPr>
          <w:p w14:paraId="31B8CA80" w14:textId="24EFF393" w:rsidR="00326DA4" w:rsidRPr="00FC36DF" w:rsidRDefault="00326DA4" w:rsidP="00FC36DF">
            <w:pPr>
              <w:jc w:val="both"/>
              <w:rPr>
                <w:rFonts w:asciiTheme="minorHAnsi" w:hAnsiTheme="minorHAnsi" w:cstheme="minorHAnsi"/>
                <w:sz w:val="22"/>
              </w:rPr>
            </w:pPr>
            <w:r w:rsidRPr="00FC36DF">
              <w:rPr>
                <w:rFonts w:asciiTheme="minorHAnsi" w:hAnsiTheme="minorHAnsi" w:cstheme="minorHAnsi"/>
                <w:b/>
                <w:sz w:val="22"/>
                <w:u w:val="single"/>
              </w:rPr>
              <w:t xml:space="preserve">Paragraaf 1: verzoek om gegevens betreffende de abonnee of de gewoonlijke gebruiker van de dienst </w:t>
            </w:r>
          </w:p>
        </w:tc>
      </w:tr>
      <w:tr w:rsidR="00326DA4" w:rsidRPr="00326DA4" w14:paraId="111C5D57" w14:textId="77777777" w:rsidTr="0025113D">
        <w:tc>
          <w:tcPr>
            <w:tcW w:w="4508" w:type="dxa"/>
          </w:tcPr>
          <w:p w14:paraId="6999CDC0" w14:textId="77777777" w:rsidR="00326DA4" w:rsidRPr="00FC36DF" w:rsidRDefault="00326DA4" w:rsidP="00FC36DF">
            <w:pPr>
              <w:jc w:val="both"/>
              <w:rPr>
                <w:rFonts w:asciiTheme="minorHAnsi" w:hAnsiTheme="minorHAnsi" w:cstheme="minorHAnsi"/>
                <w:sz w:val="22"/>
              </w:rPr>
            </w:pPr>
          </w:p>
        </w:tc>
        <w:tc>
          <w:tcPr>
            <w:tcW w:w="4508" w:type="dxa"/>
          </w:tcPr>
          <w:p w14:paraId="4C77203B" w14:textId="77777777" w:rsidR="00326DA4" w:rsidRPr="00FC36DF" w:rsidRDefault="00326DA4" w:rsidP="00FC36DF">
            <w:pPr>
              <w:jc w:val="both"/>
              <w:rPr>
                <w:rFonts w:asciiTheme="minorHAnsi" w:hAnsiTheme="minorHAnsi" w:cstheme="minorHAnsi"/>
                <w:sz w:val="22"/>
              </w:rPr>
            </w:pPr>
          </w:p>
        </w:tc>
      </w:tr>
      <w:tr w:rsidR="00326DA4" w:rsidRPr="00326DA4" w14:paraId="22E9F29D" w14:textId="77777777" w:rsidTr="0025113D">
        <w:tc>
          <w:tcPr>
            <w:tcW w:w="4508" w:type="dxa"/>
          </w:tcPr>
          <w:p w14:paraId="08358749" w14:textId="333478D6" w:rsidR="00326DA4" w:rsidRPr="00FC36DF" w:rsidRDefault="00326DA4" w:rsidP="00FC36DF">
            <w:pPr>
              <w:jc w:val="both"/>
              <w:rPr>
                <w:rFonts w:asciiTheme="minorHAnsi" w:hAnsiTheme="minorHAnsi" w:cstheme="minorHAnsi"/>
                <w:sz w:val="22"/>
                <w:lang w:val="fr-BE"/>
              </w:rPr>
            </w:pPr>
            <w:r w:rsidRPr="00FC36DF">
              <w:rPr>
                <w:rFonts w:asciiTheme="minorHAnsi" w:hAnsiTheme="minorHAnsi" w:cstheme="minorHAnsi"/>
                <w:sz w:val="22"/>
                <w:lang w:val="fr-BE"/>
              </w:rPr>
              <w:t>Selon l’article 46</w:t>
            </w:r>
            <w:r w:rsidRPr="00FC36DF">
              <w:rPr>
                <w:rFonts w:asciiTheme="minorHAnsi" w:hAnsiTheme="minorHAnsi" w:cstheme="minorHAnsi"/>
                <w:i/>
                <w:sz w:val="22"/>
                <w:lang w:val="fr-BE"/>
              </w:rPr>
              <w:t>bis</w:t>
            </w:r>
            <w:r w:rsidRPr="00FC36DF">
              <w:rPr>
                <w:rFonts w:asciiTheme="minorHAnsi" w:hAnsiTheme="minorHAnsi" w:cstheme="minorHAnsi"/>
                <w:sz w:val="22"/>
                <w:lang w:val="fr-BE"/>
              </w:rPr>
              <w:t xml:space="preserve"> du Code d’instruction criminelle, une demande de données d’identification envers un opérateur télécom doit faire l’objet d’un réquisitoire du procureur du Roi. L’article 25/1, paragraphe 1</w:t>
            </w:r>
            <w:r w:rsidRPr="00FC36DF">
              <w:rPr>
                <w:rFonts w:asciiTheme="minorHAnsi" w:hAnsiTheme="minorHAnsi" w:cstheme="minorHAnsi"/>
                <w:sz w:val="22"/>
                <w:vertAlign w:val="superscript"/>
                <w:lang w:val="fr-BE"/>
              </w:rPr>
              <w:t>er</w:t>
            </w:r>
            <w:r w:rsidRPr="00FC36DF">
              <w:rPr>
                <w:rFonts w:asciiTheme="minorHAnsi" w:hAnsiTheme="minorHAnsi" w:cstheme="minorHAnsi"/>
                <w:sz w:val="22"/>
                <w:lang w:val="fr-BE"/>
              </w:rPr>
              <w:t xml:space="preserve">, de la loi IBPT-statut prévoit une procédure différente, qui est la suivante. </w:t>
            </w:r>
          </w:p>
        </w:tc>
        <w:tc>
          <w:tcPr>
            <w:tcW w:w="4508" w:type="dxa"/>
          </w:tcPr>
          <w:p w14:paraId="0893A33C" w14:textId="7F0C714C" w:rsidR="00326DA4" w:rsidRPr="00FC36DF" w:rsidRDefault="00326DA4" w:rsidP="00FC36DF">
            <w:pPr>
              <w:jc w:val="both"/>
              <w:rPr>
                <w:rFonts w:asciiTheme="minorHAnsi" w:hAnsiTheme="minorHAnsi" w:cstheme="minorHAnsi"/>
                <w:sz w:val="22"/>
              </w:rPr>
            </w:pPr>
            <w:r w:rsidRPr="00FC36DF">
              <w:rPr>
                <w:rFonts w:asciiTheme="minorHAnsi" w:hAnsiTheme="minorHAnsi" w:cstheme="minorHAnsi"/>
                <w:sz w:val="22"/>
              </w:rPr>
              <w:t>Volgens artikel 46</w:t>
            </w:r>
            <w:r w:rsidRPr="00FC36DF">
              <w:rPr>
                <w:rFonts w:asciiTheme="minorHAnsi" w:hAnsiTheme="minorHAnsi" w:cstheme="minorHAnsi"/>
                <w:i/>
                <w:sz w:val="22"/>
              </w:rPr>
              <w:t>bis</w:t>
            </w:r>
            <w:r w:rsidRPr="00FC36DF">
              <w:rPr>
                <w:rFonts w:asciiTheme="minorHAnsi" w:hAnsiTheme="minorHAnsi" w:cstheme="minorHAnsi"/>
                <w:sz w:val="22"/>
              </w:rPr>
              <w:t xml:space="preserve"> van het Wetboek van Strafvordering moet een verzoek om identificatiegegevens aan een telecomoperator het voorwerp uitmaken van een vordering van de procureur des Konings. Artikel 25/1, paragraaf 1, van de BIPT-statuutwet voorziet in een andere procedure, die als volgt is. </w:t>
            </w:r>
          </w:p>
        </w:tc>
      </w:tr>
      <w:tr w:rsidR="00326DA4" w:rsidRPr="00326DA4" w14:paraId="430AB0F3" w14:textId="77777777" w:rsidTr="0025113D">
        <w:tc>
          <w:tcPr>
            <w:tcW w:w="4508" w:type="dxa"/>
          </w:tcPr>
          <w:p w14:paraId="040D4542" w14:textId="77777777" w:rsidR="00326DA4" w:rsidRPr="00FC36DF" w:rsidRDefault="00326DA4" w:rsidP="00FC36DF">
            <w:pPr>
              <w:jc w:val="both"/>
              <w:rPr>
                <w:rFonts w:asciiTheme="minorHAnsi" w:hAnsiTheme="minorHAnsi" w:cstheme="minorHAnsi"/>
                <w:sz w:val="22"/>
              </w:rPr>
            </w:pPr>
          </w:p>
        </w:tc>
        <w:tc>
          <w:tcPr>
            <w:tcW w:w="4508" w:type="dxa"/>
          </w:tcPr>
          <w:p w14:paraId="0C26AEC0" w14:textId="77777777" w:rsidR="00326DA4" w:rsidRPr="00FC36DF" w:rsidRDefault="00326DA4" w:rsidP="00FC36DF">
            <w:pPr>
              <w:jc w:val="both"/>
              <w:rPr>
                <w:rFonts w:asciiTheme="minorHAnsi" w:hAnsiTheme="minorHAnsi" w:cstheme="minorHAnsi"/>
                <w:sz w:val="22"/>
              </w:rPr>
            </w:pPr>
          </w:p>
        </w:tc>
      </w:tr>
      <w:tr w:rsidR="00326DA4" w:rsidRPr="00326DA4" w14:paraId="6EF12C65" w14:textId="77777777" w:rsidTr="0025113D">
        <w:tc>
          <w:tcPr>
            <w:tcW w:w="4508" w:type="dxa"/>
          </w:tcPr>
          <w:p w14:paraId="0C3332C5" w14:textId="57EE0D45" w:rsidR="00326DA4" w:rsidRPr="00FC36DF" w:rsidRDefault="00326DA4" w:rsidP="00FC36DF">
            <w:pPr>
              <w:jc w:val="both"/>
              <w:rPr>
                <w:rFonts w:asciiTheme="minorHAnsi" w:hAnsiTheme="minorHAnsi" w:cstheme="minorHAnsi"/>
                <w:sz w:val="22"/>
                <w:lang w:val="fr-BE"/>
              </w:rPr>
            </w:pPr>
            <w:r w:rsidRPr="00FC36DF">
              <w:rPr>
                <w:rFonts w:asciiTheme="minorHAnsi" w:hAnsiTheme="minorHAnsi" w:cstheme="minorHAnsi"/>
                <w:sz w:val="22"/>
                <w:lang w:val="fr-BE"/>
              </w:rPr>
              <w:t xml:space="preserve">Il y a deux groupes d’officiers de police judiciaires (OPJ) parmi les officiers de police judiciaire de l’IBPT : </w:t>
            </w:r>
          </w:p>
        </w:tc>
        <w:tc>
          <w:tcPr>
            <w:tcW w:w="4508" w:type="dxa"/>
          </w:tcPr>
          <w:p w14:paraId="232F76E6" w14:textId="627FE436" w:rsidR="00326DA4" w:rsidRPr="00FC36DF" w:rsidRDefault="00326DA4" w:rsidP="00FC36DF">
            <w:pPr>
              <w:jc w:val="both"/>
              <w:rPr>
                <w:rFonts w:asciiTheme="minorHAnsi" w:hAnsiTheme="minorHAnsi" w:cstheme="minorHAnsi"/>
                <w:sz w:val="22"/>
              </w:rPr>
            </w:pPr>
            <w:r w:rsidRPr="00FC36DF">
              <w:rPr>
                <w:rFonts w:asciiTheme="minorHAnsi" w:hAnsiTheme="minorHAnsi" w:cstheme="minorHAnsi"/>
                <w:sz w:val="22"/>
              </w:rPr>
              <w:t xml:space="preserve">Er zijn twee groepen van officieren van gerechtelijke politie (OGP) onder de officieren van gerechtelijke politie van het BIPT: </w:t>
            </w:r>
          </w:p>
        </w:tc>
      </w:tr>
      <w:tr w:rsidR="00FC36DF" w:rsidRPr="00326DA4" w14:paraId="7199DBE7" w14:textId="77777777" w:rsidTr="0025113D">
        <w:tc>
          <w:tcPr>
            <w:tcW w:w="4508" w:type="dxa"/>
          </w:tcPr>
          <w:p w14:paraId="2B34F7EC" w14:textId="77777777" w:rsidR="00FC36DF" w:rsidRPr="003A24C7" w:rsidRDefault="00FC36DF" w:rsidP="00FC36DF">
            <w:pPr>
              <w:jc w:val="both"/>
              <w:rPr>
                <w:rFonts w:asciiTheme="minorHAnsi" w:hAnsiTheme="minorHAnsi" w:cstheme="minorHAnsi"/>
                <w:sz w:val="22"/>
              </w:rPr>
            </w:pPr>
          </w:p>
        </w:tc>
        <w:tc>
          <w:tcPr>
            <w:tcW w:w="4508" w:type="dxa"/>
          </w:tcPr>
          <w:p w14:paraId="2A17E430" w14:textId="77777777" w:rsidR="00FC36DF" w:rsidRPr="00FC36DF" w:rsidRDefault="00FC36DF" w:rsidP="00FC36DF">
            <w:pPr>
              <w:jc w:val="both"/>
              <w:rPr>
                <w:rFonts w:asciiTheme="minorHAnsi" w:hAnsiTheme="minorHAnsi" w:cstheme="minorHAnsi"/>
                <w:sz w:val="22"/>
              </w:rPr>
            </w:pPr>
          </w:p>
        </w:tc>
      </w:tr>
      <w:tr w:rsidR="00326DA4" w:rsidRPr="00326DA4" w14:paraId="43B72DA8" w14:textId="77777777" w:rsidTr="0025113D">
        <w:tc>
          <w:tcPr>
            <w:tcW w:w="4508" w:type="dxa"/>
          </w:tcPr>
          <w:p w14:paraId="36424834" w14:textId="58793A7A" w:rsidR="00326DA4" w:rsidRPr="00FC36DF" w:rsidRDefault="00326DA4" w:rsidP="00FC36DF">
            <w:pPr>
              <w:pStyle w:val="Lijstalinea"/>
              <w:numPr>
                <w:ilvl w:val="0"/>
                <w:numId w:val="7"/>
              </w:numPr>
              <w:spacing w:before="0"/>
              <w:rPr>
                <w:rFonts w:asciiTheme="minorHAnsi" w:hAnsiTheme="minorHAnsi" w:cstheme="minorHAnsi"/>
                <w:lang w:val="fr-BE"/>
              </w:rPr>
            </w:pPr>
            <w:r w:rsidRPr="00FC36DF">
              <w:rPr>
                <w:rFonts w:asciiTheme="minorHAnsi" w:hAnsiTheme="minorHAnsi" w:cstheme="minorHAnsi"/>
                <w:lang w:val="fr-BE"/>
              </w:rPr>
              <w:t xml:space="preserve">les officiers de police judiciaire qui sont chargés de rédiger les demandes pour les  opérateurs et autres acteurs concernés ; </w:t>
            </w:r>
          </w:p>
        </w:tc>
        <w:tc>
          <w:tcPr>
            <w:tcW w:w="4508" w:type="dxa"/>
          </w:tcPr>
          <w:p w14:paraId="27D8D02E" w14:textId="547A1220" w:rsidR="00326DA4" w:rsidRPr="00FC36DF" w:rsidRDefault="00326DA4" w:rsidP="00FC36DF">
            <w:pPr>
              <w:pStyle w:val="Lijstalinea"/>
              <w:numPr>
                <w:ilvl w:val="0"/>
                <w:numId w:val="7"/>
              </w:numPr>
              <w:spacing w:before="0"/>
              <w:rPr>
                <w:rFonts w:asciiTheme="minorHAnsi" w:hAnsiTheme="minorHAnsi" w:cstheme="minorHAnsi"/>
                <w:lang w:val="nl-BE"/>
              </w:rPr>
            </w:pPr>
            <w:r w:rsidRPr="00FC36DF">
              <w:rPr>
                <w:rFonts w:asciiTheme="minorHAnsi" w:hAnsiTheme="minorHAnsi" w:cstheme="minorHAnsi"/>
                <w:lang w:val="nl-BE"/>
              </w:rPr>
              <w:t xml:space="preserve">de officieren van gerechtelijke politie die belast zijn met het opstellen van de verzoeken voor de operatoren en andere betrokken spelers; </w:t>
            </w:r>
          </w:p>
        </w:tc>
      </w:tr>
      <w:tr w:rsidR="00326DA4" w:rsidRPr="00326DA4" w14:paraId="10796358" w14:textId="77777777" w:rsidTr="0025113D">
        <w:tc>
          <w:tcPr>
            <w:tcW w:w="4508" w:type="dxa"/>
          </w:tcPr>
          <w:p w14:paraId="655F61AB" w14:textId="77777777" w:rsidR="00326DA4" w:rsidRPr="00FC36DF" w:rsidRDefault="00326DA4" w:rsidP="00FC36DF">
            <w:pPr>
              <w:jc w:val="both"/>
              <w:rPr>
                <w:rFonts w:asciiTheme="minorHAnsi" w:hAnsiTheme="minorHAnsi" w:cstheme="minorHAnsi"/>
                <w:sz w:val="22"/>
              </w:rPr>
            </w:pPr>
          </w:p>
        </w:tc>
        <w:tc>
          <w:tcPr>
            <w:tcW w:w="4508" w:type="dxa"/>
          </w:tcPr>
          <w:p w14:paraId="1732BC95" w14:textId="77777777" w:rsidR="00326DA4" w:rsidRPr="00FC36DF" w:rsidRDefault="00326DA4" w:rsidP="00FC36DF">
            <w:pPr>
              <w:jc w:val="both"/>
              <w:rPr>
                <w:rFonts w:asciiTheme="minorHAnsi" w:hAnsiTheme="minorHAnsi" w:cstheme="minorHAnsi"/>
                <w:sz w:val="22"/>
              </w:rPr>
            </w:pPr>
          </w:p>
        </w:tc>
      </w:tr>
      <w:tr w:rsidR="00326DA4" w:rsidRPr="00326DA4" w14:paraId="5337C035" w14:textId="77777777" w:rsidTr="0025113D">
        <w:tc>
          <w:tcPr>
            <w:tcW w:w="4508" w:type="dxa"/>
          </w:tcPr>
          <w:p w14:paraId="1BE4D7D3" w14:textId="44C25152" w:rsidR="00326DA4" w:rsidRPr="00FC36DF" w:rsidRDefault="00326DA4" w:rsidP="00FC36DF">
            <w:pPr>
              <w:pStyle w:val="Lijstalinea"/>
              <w:numPr>
                <w:ilvl w:val="0"/>
                <w:numId w:val="7"/>
              </w:numPr>
              <w:spacing w:before="0"/>
              <w:rPr>
                <w:rFonts w:asciiTheme="minorHAnsi" w:hAnsiTheme="minorHAnsi" w:cstheme="minorHAnsi"/>
                <w:lang w:val="fr-BE"/>
              </w:rPr>
            </w:pPr>
            <w:r w:rsidRPr="00FC36DF">
              <w:rPr>
                <w:rFonts w:asciiTheme="minorHAnsi" w:hAnsiTheme="minorHAnsi" w:cstheme="minorHAnsi"/>
                <w:lang w:val="fr-BE"/>
              </w:rPr>
              <w:t xml:space="preserve">les officiers de police judiciaire qui sont chargés de contrôler ces demandes.  </w:t>
            </w:r>
          </w:p>
        </w:tc>
        <w:tc>
          <w:tcPr>
            <w:tcW w:w="4508" w:type="dxa"/>
          </w:tcPr>
          <w:p w14:paraId="35387D9D" w14:textId="3E4061D4" w:rsidR="00326DA4" w:rsidRPr="00FC36DF" w:rsidRDefault="00326DA4" w:rsidP="00FC36DF">
            <w:pPr>
              <w:pStyle w:val="Lijstalinea"/>
              <w:numPr>
                <w:ilvl w:val="0"/>
                <w:numId w:val="7"/>
              </w:numPr>
              <w:spacing w:before="0"/>
              <w:rPr>
                <w:rFonts w:asciiTheme="minorHAnsi" w:hAnsiTheme="minorHAnsi" w:cstheme="minorHAnsi"/>
                <w:lang w:val="nl-BE"/>
              </w:rPr>
            </w:pPr>
            <w:r w:rsidRPr="00FC36DF">
              <w:rPr>
                <w:rFonts w:asciiTheme="minorHAnsi" w:hAnsiTheme="minorHAnsi" w:cstheme="minorHAnsi"/>
                <w:lang w:val="nl-BE"/>
              </w:rPr>
              <w:t xml:space="preserve">de officieren van gerechtelijke politie die belast zijn met de controle van die verzoeken.  </w:t>
            </w:r>
          </w:p>
        </w:tc>
      </w:tr>
      <w:tr w:rsidR="00326DA4" w:rsidRPr="00326DA4" w14:paraId="4626C2D1" w14:textId="77777777" w:rsidTr="0025113D">
        <w:tc>
          <w:tcPr>
            <w:tcW w:w="4508" w:type="dxa"/>
          </w:tcPr>
          <w:p w14:paraId="1CD598BB" w14:textId="77777777" w:rsidR="00326DA4" w:rsidRPr="00FC36DF" w:rsidRDefault="00326DA4" w:rsidP="00FC36DF">
            <w:pPr>
              <w:jc w:val="both"/>
              <w:rPr>
                <w:rFonts w:asciiTheme="minorHAnsi" w:hAnsiTheme="minorHAnsi" w:cstheme="minorHAnsi"/>
                <w:sz w:val="22"/>
              </w:rPr>
            </w:pPr>
          </w:p>
        </w:tc>
        <w:tc>
          <w:tcPr>
            <w:tcW w:w="4508" w:type="dxa"/>
          </w:tcPr>
          <w:p w14:paraId="495111DA" w14:textId="77777777" w:rsidR="00326DA4" w:rsidRPr="00FC36DF" w:rsidRDefault="00326DA4" w:rsidP="00FC36DF">
            <w:pPr>
              <w:jc w:val="both"/>
              <w:rPr>
                <w:rFonts w:asciiTheme="minorHAnsi" w:hAnsiTheme="minorHAnsi" w:cstheme="minorHAnsi"/>
                <w:sz w:val="22"/>
              </w:rPr>
            </w:pPr>
          </w:p>
        </w:tc>
      </w:tr>
      <w:tr w:rsidR="00326DA4" w:rsidRPr="00326DA4" w14:paraId="5E85EE74" w14:textId="77777777" w:rsidTr="0025113D">
        <w:tc>
          <w:tcPr>
            <w:tcW w:w="4508" w:type="dxa"/>
          </w:tcPr>
          <w:p w14:paraId="7C36EB31" w14:textId="13500ABA" w:rsidR="00326DA4" w:rsidRPr="00FC36DF" w:rsidRDefault="00326DA4" w:rsidP="00FC36DF">
            <w:pPr>
              <w:jc w:val="both"/>
              <w:rPr>
                <w:rFonts w:asciiTheme="minorHAnsi" w:hAnsiTheme="minorHAnsi" w:cstheme="minorHAnsi"/>
                <w:sz w:val="22"/>
                <w:lang w:val="fr-BE"/>
              </w:rPr>
            </w:pPr>
            <w:r w:rsidRPr="00FC36DF">
              <w:rPr>
                <w:rFonts w:asciiTheme="minorHAnsi" w:hAnsiTheme="minorHAnsi" w:cstheme="minorHAnsi"/>
                <w:sz w:val="22"/>
                <w:lang w:val="fr-BE"/>
              </w:rPr>
              <w:t xml:space="preserve">Un OPJ de l’IBPT qui est chargé de rédiger les demandes pour les opérateurs et les autres acteurs concernés adresse une demande écrite et motivée à un officier de police judiciaire de l’IBPT qui est chargé de contrôler ces demandes. Après approbation écrite de ce dernier officier, la demande pourra être envoyée à l’acteur concerné.   </w:t>
            </w:r>
          </w:p>
        </w:tc>
        <w:tc>
          <w:tcPr>
            <w:tcW w:w="4508" w:type="dxa"/>
          </w:tcPr>
          <w:p w14:paraId="61E9B9B3" w14:textId="00B83247" w:rsidR="00326DA4" w:rsidRPr="00FC36DF" w:rsidRDefault="00326DA4" w:rsidP="00FC36DF">
            <w:pPr>
              <w:jc w:val="both"/>
              <w:rPr>
                <w:rFonts w:asciiTheme="minorHAnsi" w:hAnsiTheme="minorHAnsi" w:cstheme="minorHAnsi"/>
                <w:sz w:val="22"/>
              </w:rPr>
            </w:pPr>
            <w:r w:rsidRPr="00FC36DF">
              <w:rPr>
                <w:rFonts w:asciiTheme="minorHAnsi" w:hAnsiTheme="minorHAnsi" w:cstheme="minorHAnsi"/>
                <w:sz w:val="22"/>
              </w:rPr>
              <w:t xml:space="preserve">Een OGP van het BIPT die ermee belast is de verzoeken voor de operatoren en de andere betrokken spelers op te stellen richt een schriftelijk en met redenen omkleed verzoek aan een officier van gerechtelijke politie van het BIPT die belast is met de controle van die verzoeken. Na schriftelijke goedkeuring van die laatste officier zal het verzoek mogen worden verzonden naar de betrokken speler.   </w:t>
            </w:r>
          </w:p>
        </w:tc>
      </w:tr>
      <w:tr w:rsidR="00326DA4" w:rsidRPr="00326DA4" w14:paraId="38546909" w14:textId="77777777" w:rsidTr="0025113D">
        <w:tc>
          <w:tcPr>
            <w:tcW w:w="4508" w:type="dxa"/>
          </w:tcPr>
          <w:p w14:paraId="16E3F568" w14:textId="77777777" w:rsidR="00326DA4" w:rsidRPr="003A24C7" w:rsidRDefault="00326DA4" w:rsidP="00FC36DF">
            <w:pPr>
              <w:jc w:val="both"/>
              <w:rPr>
                <w:rFonts w:asciiTheme="minorHAnsi" w:hAnsiTheme="minorHAnsi" w:cstheme="minorHAnsi"/>
                <w:sz w:val="22"/>
              </w:rPr>
            </w:pPr>
          </w:p>
        </w:tc>
        <w:tc>
          <w:tcPr>
            <w:tcW w:w="4508" w:type="dxa"/>
          </w:tcPr>
          <w:p w14:paraId="424A52B9" w14:textId="77777777" w:rsidR="00326DA4" w:rsidRPr="00FC36DF" w:rsidRDefault="00326DA4" w:rsidP="00FC36DF">
            <w:pPr>
              <w:jc w:val="both"/>
              <w:rPr>
                <w:rFonts w:asciiTheme="minorHAnsi" w:hAnsiTheme="minorHAnsi" w:cstheme="minorHAnsi"/>
                <w:sz w:val="22"/>
              </w:rPr>
            </w:pPr>
          </w:p>
        </w:tc>
      </w:tr>
      <w:tr w:rsidR="00326DA4" w:rsidRPr="00326DA4" w14:paraId="034EB701" w14:textId="77777777" w:rsidTr="0025113D">
        <w:tc>
          <w:tcPr>
            <w:tcW w:w="4508" w:type="dxa"/>
          </w:tcPr>
          <w:p w14:paraId="5319BD98" w14:textId="356D83D1" w:rsidR="00326DA4" w:rsidRPr="00FC36DF" w:rsidRDefault="00326DA4" w:rsidP="00FC36DF">
            <w:pPr>
              <w:jc w:val="both"/>
              <w:rPr>
                <w:rFonts w:asciiTheme="minorHAnsi" w:hAnsiTheme="minorHAnsi" w:cstheme="minorHAnsi"/>
                <w:sz w:val="22"/>
                <w:lang w:val="fr-BE"/>
              </w:rPr>
            </w:pPr>
            <w:r w:rsidRPr="00FC36DF">
              <w:rPr>
                <w:rFonts w:asciiTheme="minorHAnsi" w:hAnsiTheme="minorHAnsi" w:cstheme="minorHAnsi"/>
                <w:sz w:val="22"/>
                <w:lang w:val="fr-BE"/>
              </w:rPr>
              <w:t xml:space="preserve">La procédure différente prévue dans la loi IBPT-statut par rapport à l’article 46bis du Code d’instruction criminelle se justifie comme suit. </w:t>
            </w:r>
          </w:p>
        </w:tc>
        <w:tc>
          <w:tcPr>
            <w:tcW w:w="4508" w:type="dxa"/>
          </w:tcPr>
          <w:p w14:paraId="1D8B47D0" w14:textId="4566C158" w:rsidR="00326DA4" w:rsidRPr="00FC36DF" w:rsidRDefault="00326DA4" w:rsidP="00FC36DF">
            <w:pPr>
              <w:jc w:val="both"/>
              <w:rPr>
                <w:rFonts w:asciiTheme="minorHAnsi" w:hAnsiTheme="minorHAnsi" w:cstheme="minorHAnsi"/>
                <w:sz w:val="22"/>
              </w:rPr>
            </w:pPr>
            <w:r w:rsidRPr="00FC36DF">
              <w:rPr>
                <w:rFonts w:asciiTheme="minorHAnsi" w:hAnsiTheme="minorHAnsi" w:cstheme="minorHAnsi"/>
                <w:sz w:val="22"/>
              </w:rPr>
              <w:t xml:space="preserve">De procedure waarin de BIPT-statuutwet voorziet en die verschilt van artikel 46bis van het Wetboek van Strafvordering wordt als volgt gerechtvaardigd. </w:t>
            </w:r>
          </w:p>
        </w:tc>
      </w:tr>
      <w:tr w:rsidR="00DC0BDD" w:rsidRPr="00326DA4" w14:paraId="3125DF0C" w14:textId="77777777" w:rsidTr="0025113D">
        <w:tc>
          <w:tcPr>
            <w:tcW w:w="4508" w:type="dxa"/>
          </w:tcPr>
          <w:p w14:paraId="2E7D6C4B" w14:textId="77777777" w:rsidR="00DC0BDD" w:rsidRPr="003A24C7" w:rsidRDefault="00DC0BDD" w:rsidP="00FC36DF">
            <w:pPr>
              <w:jc w:val="both"/>
              <w:rPr>
                <w:rFonts w:asciiTheme="minorHAnsi" w:hAnsiTheme="minorHAnsi" w:cstheme="minorHAnsi"/>
                <w:sz w:val="22"/>
              </w:rPr>
            </w:pPr>
          </w:p>
        </w:tc>
        <w:tc>
          <w:tcPr>
            <w:tcW w:w="4508" w:type="dxa"/>
          </w:tcPr>
          <w:p w14:paraId="1CB043CD" w14:textId="77777777" w:rsidR="00DC0BDD" w:rsidRPr="00FC36DF" w:rsidRDefault="00DC0BDD" w:rsidP="00FC36DF">
            <w:pPr>
              <w:jc w:val="both"/>
              <w:rPr>
                <w:rFonts w:asciiTheme="minorHAnsi" w:hAnsiTheme="minorHAnsi" w:cstheme="minorHAnsi"/>
                <w:sz w:val="22"/>
              </w:rPr>
            </w:pPr>
          </w:p>
        </w:tc>
      </w:tr>
      <w:tr w:rsidR="00326DA4" w:rsidRPr="00326DA4" w14:paraId="345EA7F4" w14:textId="77777777" w:rsidTr="0025113D">
        <w:tc>
          <w:tcPr>
            <w:tcW w:w="4508" w:type="dxa"/>
          </w:tcPr>
          <w:p w14:paraId="7DCF5CEE" w14:textId="121418CD" w:rsidR="00326DA4" w:rsidRPr="00FC36DF" w:rsidRDefault="00326DA4" w:rsidP="00FC36DF">
            <w:pPr>
              <w:jc w:val="both"/>
              <w:rPr>
                <w:rFonts w:asciiTheme="minorHAnsi" w:hAnsiTheme="minorHAnsi" w:cstheme="minorHAnsi"/>
                <w:sz w:val="22"/>
                <w:lang w:val="fr-BE"/>
              </w:rPr>
            </w:pPr>
            <w:r w:rsidRPr="00FC36DF">
              <w:rPr>
                <w:rFonts w:asciiTheme="minorHAnsi" w:hAnsiTheme="minorHAnsi" w:cstheme="minorHAnsi"/>
                <w:sz w:val="22"/>
                <w:lang w:val="fr-BE"/>
              </w:rPr>
              <w:t>Une première justification est la nature particulière des infractions visées aux paragraphes 1</w:t>
            </w:r>
            <w:r w:rsidRPr="00FC36DF">
              <w:rPr>
                <w:rFonts w:asciiTheme="minorHAnsi" w:hAnsiTheme="minorHAnsi" w:cstheme="minorHAnsi"/>
                <w:sz w:val="22"/>
                <w:vertAlign w:val="superscript"/>
                <w:lang w:val="fr-BE"/>
              </w:rPr>
              <w:t>er</w:t>
            </w:r>
            <w:r w:rsidRPr="00FC36DF">
              <w:rPr>
                <w:rFonts w:asciiTheme="minorHAnsi" w:hAnsiTheme="minorHAnsi" w:cstheme="minorHAnsi"/>
                <w:sz w:val="22"/>
                <w:lang w:val="fr-BE"/>
              </w:rPr>
              <w:t xml:space="preserve"> et 2 du nouvel article 25/1. </w:t>
            </w:r>
          </w:p>
        </w:tc>
        <w:tc>
          <w:tcPr>
            <w:tcW w:w="4508" w:type="dxa"/>
          </w:tcPr>
          <w:p w14:paraId="172CFFD1" w14:textId="28081D0F" w:rsidR="00326DA4" w:rsidRPr="00FC36DF" w:rsidRDefault="00326DA4" w:rsidP="00FC36DF">
            <w:pPr>
              <w:jc w:val="both"/>
              <w:rPr>
                <w:rFonts w:asciiTheme="minorHAnsi" w:hAnsiTheme="minorHAnsi" w:cstheme="minorHAnsi"/>
                <w:sz w:val="22"/>
              </w:rPr>
            </w:pPr>
            <w:r w:rsidRPr="00FC36DF">
              <w:rPr>
                <w:rFonts w:asciiTheme="minorHAnsi" w:hAnsiTheme="minorHAnsi" w:cstheme="minorHAnsi"/>
                <w:sz w:val="22"/>
              </w:rPr>
              <w:t xml:space="preserve">Een eerste rechtvaardiging is de bijzondere aard van de inbreuken bedoeld in de paragrafen 1 en 2 van het nieuwe artikel 25/1. </w:t>
            </w:r>
          </w:p>
        </w:tc>
      </w:tr>
      <w:tr w:rsidR="00DC0BDD" w:rsidRPr="00326DA4" w14:paraId="5A71E5E2" w14:textId="77777777" w:rsidTr="0025113D">
        <w:tc>
          <w:tcPr>
            <w:tcW w:w="4508" w:type="dxa"/>
          </w:tcPr>
          <w:p w14:paraId="334A5E62" w14:textId="77777777" w:rsidR="00DC0BDD" w:rsidRPr="003A24C7" w:rsidRDefault="00DC0BDD" w:rsidP="00FC36DF">
            <w:pPr>
              <w:jc w:val="both"/>
              <w:rPr>
                <w:rFonts w:asciiTheme="minorHAnsi" w:hAnsiTheme="minorHAnsi" w:cstheme="minorHAnsi"/>
                <w:sz w:val="22"/>
              </w:rPr>
            </w:pPr>
          </w:p>
        </w:tc>
        <w:tc>
          <w:tcPr>
            <w:tcW w:w="4508" w:type="dxa"/>
          </w:tcPr>
          <w:p w14:paraId="4713B775" w14:textId="77777777" w:rsidR="00DC0BDD" w:rsidRPr="00FC36DF" w:rsidRDefault="00DC0BDD" w:rsidP="00FC36DF">
            <w:pPr>
              <w:jc w:val="both"/>
              <w:rPr>
                <w:rFonts w:asciiTheme="minorHAnsi" w:hAnsiTheme="minorHAnsi" w:cstheme="minorHAnsi"/>
                <w:sz w:val="22"/>
              </w:rPr>
            </w:pPr>
          </w:p>
        </w:tc>
      </w:tr>
      <w:tr w:rsidR="00326DA4" w:rsidRPr="00326DA4" w14:paraId="5CB21C65" w14:textId="77777777" w:rsidTr="0025113D">
        <w:tc>
          <w:tcPr>
            <w:tcW w:w="4508" w:type="dxa"/>
          </w:tcPr>
          <w:p w14:paraId="2E5E09DE" w14:textId="5A4F7ED9" w:rsidR="00326DA4" w:rsidRPr="00FC36DF" w:rsidRDefault="00326DA4" w:rsidP="00FC36DF">
            <w:pPr>
              <w:jc w:val="both"/>
              <w:rPr>
                <w:rFonts w:asciiTheme="minorHAnsi" w:hAnsiTheme="minorHAnsi" w:cstheme="minorHAnsi"/>
                <w:sz w:val="22"/>
                <w:lang w:val="fr-BE"/>
              </w:rPr>
            </w:pPr>
            <w:r w:rsidRPr="00FC36DF">
              <w:rPr>
                <w:rFonts w:asciiTheme="minorHAnsi" w:hAnsiTheme="minorHAnsi" w:cstheme="minorHAnsi"/>
                <w:sz w:val="22"/>
                <w:lang w:val="fr-BE"/>
              </w:rPr>
              <w:t>Comme il a été indiqué ci-dessus, toutes ces infractions ont en commun qu’elles sont commises à l’aide d’un réseau ou service de communications électroniques.</w:t>
            </w:r>
          </w:p>
        </w:tc>
        <w:tc>
          <w:tcPr>
            <w:tcW w:w="4508" w:type="dxa"/>
          </w:tcPr>
          <w:p w14:paraId="68AD5566" w14:textId="36C21FBA" w:rsidR="00326DA4" w:rsidRPr="00FC36DF" w:rsidRDefault="00326DA4" w:rsidP="00FC36DF">
            <w:pPr>
              <w:jc w:val="both"/>
              <w:rPr>
                <w:rFonts w:asciiTheme="minorHAnsi" w:hAnsiTheme="minorHAnsi" w:cstheme="minorHAnsi"/>
                <w:sz w:val="22"/>
              </w:rPr>
            </w:pPr>
            <w:r w:rsidRPr="00FC36DF">
              <w:rPr>
                <w:rFonts w:asciiTheme="minorHAnsi" w:hAnsiTheme="minorHAnsi" w:cstheme="minorHAnsi"/>
                <w:sz w:val="22"/>
              </w:rPr>
              <w:t>Zoals hierboven vermeld, hebben al deze inbreuken met elkaar gemeen dat ze worden gepleegd met behulp van een netwerk of dienst voor elektronische communicatie.</w:t>
            </w:r>
          </w:p>
        </w:tc>
      </w:tr>
      <w:tr w:rsidR="00DC0BDD" w:rsidRPr="00326DA4" w14:paraId="3EAC4ACF" w14:textId="77777777" w:rsidTr="0025113D">
        <w:tc>
          <w:tcPr>
            <w:tcW w:w="4508" w:type="dxa"/>
          </w:tcPr>
          <w:p w14:paraId="16D70570" w14:textId="77777777" w:rsidR="00DC0BDD" w:rsidRPr="003A24C7" w:rsidRDefault="00DC0BDD" w:rsidP="00FC36DF">
            <w:pPr>
              <w:jc w:val="both"/>
              <w:rPr>
                <w:rFonts w:asciiTheme="minorHAnsi" w:hAnsiTheme="minorHAnsi" w:cstheme="minorHAnsi"/>
                <w:sz w:val="22"/>
              </w:rPr>
            </w:pPr>
          </w:p>
        </w:tc>
        <w:tc>
          <w:tcPr>
            <w:tcW w:w="4508" w:type="dxa"/>
          </w:tcPr>
          <w:p w14:paraId="51F8539B" w14:textId="77777777" w:rsidR="00DC0BDD" w:rsidRPr="00FC36DF" w:rsidRDefault="00DC0BDD" w:rsidP="00FC36DF">
            <w:pPr>
              <w:jc w:val="both"/>
              <w:rPr>
                <w:rFonts w:asciiTheme="minorHAnsi" w:hAnsiTheme="minorHAnsi" w:cstheme="minorHAnsi"/>
                <w:sz w:val="22"/>
              </w:rPr>
            </w:pPr>
          </w:p>
        </w:tc>
      </w:tr>
      <w:tr w:rsidR="00326DA4" w:rsidRPr="00326DA4" w14:paraId="2E4B326B" w14:textId="77777777" w:rsidTr="0025113D">
        <w:tc>
          <w:tcPr>
            <w:tcW w:w="4508" w:type="dxa"/>
          </w:tcPr>
          <w:p w14:paraId="60EBA960" w14:textId="5047F4B1" w:rsidR="00326DA4" w:rsidRPr="00FC36DF" w:rsidRDefault="00326DA4" w:rsidP="00FC36DF">
            <w:pPr>
              <w:jc w:val="both"/>
              <w:rPr>
                <w:rFonts w:asciiTheme="minorHAnsi" w:hAnsiTheme="minorHAnsi" w:cstheme="minorHAnsi"/>
                <w:sz w:val="22"/>
                <w:lang w:val="fr-BE"/>
              </w:rPr>
            </w:pPr>
            <w:r w:rsidRPr="00FC36DF">
              <w:rPr>
                <w:rFonts w:asciiTheme="minorHAnsi" w:hAnsiTheme="minorHAnsi" w:cstheme="minorHAnsi"/>
                <w:sz w:val="22"/>
                <w:lang w:val="fr-BE"/>
              </w:rPr>
              <w:t xml:space="preserve">Par conséquent, la recherche de l’auteur de ces infractions ne sera possible qu’au moyen des « traces numériques» que cet auteur laisse en utilisant le réseau ou le service de communications électroniques. </w:t>
            </w:r>
          </w:p>
        </w:tc>
        <w:tc>
          <w:tcPr>
            <w:tcW w:w="4508" w:type="dxa"/>
          </w:tcPr>
          <w:p w14:paraId="4BCDB951" w14:textId="73830722" w:rsidR="00326DA4" w:rsidRPr="00FC36DF" w:rsidRDefault="00326DA4" w:rsidP="00FC36DF">
            <w:pPr>
              <w:jc w:val="both"/>
              <w:rPr>
                <w:rFonts w:asciiTheme="minorHAnsi" w:hAnsiTheme="minorHAnsi" w:cstheme="minorHAnsi"/>
                <w:sz w:val="22"/>
              </w:rPr>
            </w:pPr>
            <w:r w:rsidRPr="00FC36DF">
              <w:rPr>
                <w:rFonts w:asciiTheme="minorHAnsi" w:hAnsiTheme="minorHAnsi" w:cstheme="minorHAnsi"/>
                <w:sz w:val="22"/>
              </w:rPr>
              <w:t xml:space="preserve">Bijgevolg zal naar de dader van deze inbreuken maar gezocht kunnen worden door middel van de “digitale sporen” die deze dader achterlaat bij het gebruik van het netwerk of de dienst voor elektronische communicatie. </w:t>
            </w:r>
          </w:p>
        </w:tc>
      </w:tr>
      <w:tr w:rsidR="00DC0BDD" w:rsidRPr="00326DA4" w14:paraId="301C126A" w14:textId="77777777" w:rsidTr="0025113D">
        <w:tc>
          <w:tcPr>
            <w:tcW w:w="4508" w:type="dxa"/>
          </w:tcPr>
          <w:p w14:paraId="575F8DDF" w14:textId="77777777" w:rsidR="00DC0BDD" w:rsidRPr="003A24C7" w:rsidRDefault="00DC0BDD" w:rsidP="00FC36DF">
            <w:pPr>
              <w:jc w:val="both"/>
              <w:rPr>
                <w:rFonts w:asciiTheme="minorHAnsi" w:hAnsiTheme="minorHAnsi" w:cstheme="minorHAnsi"/>
                <w:sz w:val="22"/>
              </w:rPr>
            </w:pPr>
          </w:p>
        </w:tc>
        <w:tc>
          <w:tcPr>
            <w:tcW w:w="4508" w:type="dxa"/>
          </w:tcPr>
          <w:p w14:paraId="07D27696" w14:textId="77777777" w:rsidR="00DC0BDD" w:rsidRPr="00FC36DF" w:rsidRDefault="00DC0BDD" w:rsidP="00FC36DF">
            <w:pPr>
              <w:jc w:val="both"/>
              <w:rPr>
                <w:rFonts w:asciiTheme="minorHAnsi" w:hAnsiTheme="minorHAnsi" w:cstheme="minorHAnsi"/>
                <w:sz w:val="22"/>
              </w:rPr>
            </w:pPr>
          </w:p>
        </w:tc>
      </w:tr>
      <w:tr w:rsidR="00326DA4" w:rsidRPr="00326DA4" w14:paraId="218EF756" w14:textId="77777777" w:rsidTr="0025113D">
        <w:tc>
          <w:tcPr>
            <w:tcW w:w="4508" w:type="dxa"/>
          </w:tcPr>
          <w:p w14:paraId="15D9EC1F" w14:textId="04B5A595" w:rsidR="00326DA4" w:rsidRPr="00FC36DF" w:rsidRDefault="00326DA4" w:rsidP="00FC36DF">
            <w:pPr>
              <w:jc w:val="both"/>
              <w:rPr>
                <w:rFonts w:asciiTheme="minorHAnsi" w:hAnsiTheme="minorHAnsi" w:cstheme="minorHAnsi"/>
                <w:sz w:val="22"/>
                <w:lang w:val="fr-BE"/>
              </w:rPr>
            </w:pPr>
            <w:r w:rsidRPr="00FC36DF">
              <w:rPr>
                <w:rFonts w:asciiTheme="minorHAnsi" w:hAnsiTheme="minorHAnsi" w:cstheme="minorHAnsi"/>
                <w:sz w:val="22"/>
                <w:lang w:val="fr-BE"/>
              </w:rPr>
              <w:t xml:space="preserve">La tâche des officiers de police judiciaire de l’IBPT consistera d’abord à vérifier que l’infraction est bien établie. Ces officiers sont bien placés pour examiner la matérialité des faits, vu leur expertise technique dans le secteur des communications électroniques. </w:t>
            </w:r>
          </w:p>
        </w:tc>
        <w:tc>
          <w:tcPr>
            <w:tcW w:w="4508" w:type="dxa"/>
          </w:tcPr>
          <w:p w14:paraId="64440C0B" w14:textId="3814A99E" w:rsidR="00326DA4" w:rsidRPr="00FC36DF" w:rsidRDefault="00326DA4" w:rsidP="00FC36DF">
            <w:pPr>
              <w:jc w:val="both"/>
              <w:rPr>
                <w:rFonts w:asciiTheme="minorHAnsi" w:hAnsiTheme="minorHAnsi" w:cstheme="minorHAnsi"/>
                <w:sz w:val="22"/>
              </w:rPr>
            </w:pPr>
            <w:r w:rsidRPr="00FC36DF">
              <w:rPr>
                <w:rFonts w:asciiTheme="minorHAnsi" w:hAnsiTheme="minorHAnsi" w:cstheme="minorHAnsi"/>
                <w:sz w:val="22"/>
              </w:rPr>
              <w:t>De taak van de officieren van gerechtelijke politie van het BIPT zal er eerst in bestaan na te gaan of de inbreuk vaststaat. Deze officieren zijn, gelet op hun technische expertise in de elektronische-communicatiesector,</w:t>
            </w:r>
            <w:r w:rsidR="00FC36DF">
              <w:rPr>
                <w:rFonts w:asciiTheme="minorHAnsi" w:hAnsiTheme="minorHAnsi" w:cstheme="minorHAnsi"/>
                <w:sz w:val="22"/>
              </w:rPr>
              <w:t xml:space="preserve"> </w:t>
            </w:r>
            <w:r w:rsidRPr="00FC36DF">
              <w:rPr>
                <w:rFonts w:asciiTheme="minorHAnsi" w:hAnsiTheme="minorHAnsi" w:cstheme="minorHAnsi"/>
                <w:sz w:val="22"/>
              </w:rPr>
              <w:t xml:space="preserve">aangewezen om de werkelijkheid van de feiten te onderzoeken. </w:t>
            </w:r>
          </w:p>
        </w:tc>
      </w:tr>
      <w:tr w:rsidR="00DC0BDD" w:rsidRPr="00326DA4" w14:paraId="6D07A38D" w14:textId="77777777" w:rsidTr="0025113D">
        <w:tc>
          <w:tcPr>
            <w:tcW w:w="4508" w:type="dxa"/>
          </w:tcPr>
          <w:p w14:paraId="491E28E2" w14:textId="77777777" w:rsidR="00DC0BDD" w:rsidRPr="00FC36DF" w:rsidRDefault="00DC0BDD" w:rsidP="00FC36DF">
            <w:pPr>
              <w:jc w:val="both"/>
              <w:rPr>
                <w:rFonts w:asciiTheme="minorHAnsi" w:hAnsiTheme="minorHAnsi" w:cstheme="minorHAnsi"/>
                <w:sz w:val="22"/>
              </w:rPr>
            </w:pPr>
          </w:p>
        </w:tc>
        <w:tc>
          <w:tcPr>
            <w:tcW w:w="4508" w:type="dxa"/>
          </w:tcPr>
          <w:p w14:paraId="251335E7" w14:textId="77777777" w:rsidR="00DC0BDD" w:rsidRPr="00FC36DF" w:rsidRDefault="00DC0BDD" w:rsidP="00FC36DF">
            <w:pPr>
              <w:jc w:val="both"/>
              <w:rPr>
                <w:rFonts w:asciiTheme="minorHAnsi" w:hAnsiTheme="minorHAnsi" w:cstheme="minorHAnsi"/>
                <w:sz w:val="22"/>
              </w:rPr>
            </w:pPr>
          </w:p>
        </w:tc>
      </w:tr>
      <w:tr w:rsidR="00326DA4" w:rsidRPr="00326DA4" w14:paraId="0D7FB133" w14:textId="77777777" w:rsidTr="0025113D">
        <w:tc>
          <w:tcPr>
            <w:tcW w:w="4508" w:type="dxa"/>
          </w:tcPr>
          <w:p w14:paraId="04B362F5" w14:textId="1096B829" w:rsidR="00326DA4" w:rsidRPr="00FC36DF" w:rsidRDefault="00326DA4" w:rsidP="00FC36DF">
            <w:pPr>
              <w:jc w:val="both"/>
              <w:rPr>
                <w:rFonts w:asciiTheme="minorHAnsi" w:hAnsiTheme="minorHAnsi" w:cstheme="minorHAnsi"/>
                <w:sz w:val="22"/>
                <w:lang w:val="fr-BE"/>
              </w:rPr>
            </w:pPr>
            <w:r w:rsidRPr="00FC36DF">
              <w:rPr>
                <w:rFonts w:asciiTheme="minorHAnsi" w:hAnsiTheme="minorHAnsi" w:cstheme="minorHAnsi"/>
                <w:sz w:val="22"/>
                <w:lang w:val="fr-BE"/>
              </w:rPr>
              <w:t xml:space="preserve">En pratique, il apparaît facilement si un fait est ou pas une infraction aux dispositions précitées (smishing, spoofing, etc.). </w:t>
            </w:r>
          </w:p>
        </w:tc>
        <w:tc>
          <w:tcPr>
            <w:tcW w:w="4508" w:type="dxa"/>
          </w:tcPr>
          <w:p w14:paraId="70E7F3C5" w14:textId="0123A6A2" w:rsidR="00326DA4" w:rsidRPr="00FC36DF" w:rsidRDefault="00326DA4" w:rsidP="00FC36DF">
            <w:pPr>
              <w:jc w:val="both"/>
              <w:rPr>
                <w:rFonts w:asciiTheme="minorHAnsi" w:hAnsiTheme="minorHAnsi" w:cstheme="minorHAnsi"/>
                <w:sz w:val="22"/>
              </w:rPr>
            </w:pPr>
            <w:r w:rsidRPr="00FC36DF">
              <w:rPr>
                <w:rFonts w:asciiTheme="minorHAnsi" w:hAnsiTheme="minorHAnsi" w:cstheme="minorHAnsi"/>
                <w:sz w:val="22"/>
              </w:rPr>
              <w:t>In de praktijk is snel duidelijk of een feit al dan niet een inbreuk vormt op de voormelde bepalingen (</w:t>
            </w:r>
            <w:proofErr w:type="spellStart"/>
            <w:r w:rsidRPr="00FC36DF">
              <w:rPr>
                <w:rFonts w:asciiTheme="minorHAnsi" w:hAnsiTheme="minorHAnsi" w:cstheme="minorHAnsi"/>
                <w:sz w:val="22"/>
              </w:rPr>
              <w:t>smishing</w:t>
            </w:r>
            <w:proofErr w:type="spellEnd"/>
            <w:r w:rsidRPr="00FC36DF">
              <w:rPr>
                <w:rFonts w:asciiTheme="minorHAnsi" w:hAnsiTheme="minorHAnsi" w:cstheme="minorHAnsi"/>
                <w:sz w:val="22"/>
              </w:rPr>
              <w:t xml:space="preserve">, </w:t>
            </w:r>
            <w:proofErr w:type="spellStart"/>
            <w:r w:rsidRPr="00FC36DF">
              <w:rPr>
                <w:rFonts w:asciiTheme="minorHAnsi" w:hAnsiTheme="minorHAnsi" w:cstheme="minorHAnsi"/>
                <w:sz w:val="22"/>
              </w:rPr>
              <w:t>spoofing</w:t>
            </w:r>
            <w:proofErr w:type="spellEnd"/>
            <w:r w:rsidRPr="00FC36DF">
              <w:rPr>
                <w:rFonts w:asciiTheme="minorHAnsi" w:hAnsiTheme="minorHAnsi" w:cstheme="minorHAnsi"/>
                <w:sz w:val="22"/>
              </w:rPr>
              <w:t xml:space="preserve">, enz.). </w:t>
            </w:r>
          </w:p>
        </w:tc>
      </w:tr>
      <w:tr w:rsidR="00DC0BDD" w:rsidRPr="00326DA4" w14:paraId="494CD249" w14:textId="77777777" w:rsidTr="0025113D">
        <w:tc>
          <w:tcPr>
            <w:tcW w:w="4508" w:type="dxa"/>
          </w:tcPr>
          <w:p w14:paraId="3A379DE1" w14:textId="77777777" w:rsidR="00DC0BDD" w:rsidRPr="003A24C7" w:rsidRDefault="00DC0BDD" w:rsidP="00FC36DF">
            <w:pPr>
              <w:jc w:val="both"/>
              <w:rPr>
                <w:rFonts w:asciiTheme="minorHAnsi" w:hAnsiTheme="minorHAnsi" w:cstheme="minorHAnsi"/>
                <w:sz w:val="22"/>
              </w:rPr>
            </w:pPr>
          </w:p>
        </w:tc>
        <w:tc>
          <w:tcPr>
            <w:tcW w:w="4508" w:type="dxa"/>
          </w:tcPr>
          <w:p w14:paraId="02B0878D" w14:textId="77777777" w:rsidR="00DC0BDD" w:rsidRPr="00FC36DF" w:rsidRDefault="00DC0BDD" w:rsidP="00FC36DF">
            <w:pPr>
              <w:jc w:val="both"/>
              <w:rPr>
                <w:rFonts w:asciiTheme="minorHAnsi" w:hAnsiTheme="minorHAnsi" w:cstheme="minorHAnsi"/>
                <w:sz w:val="22"/>
              </w:rPr>
            </w:pPr>
          </w:p>
        </w:tc>
      </w:tr>
      <w:tr w:rsidR="00326DA4" w:rsidRPr="00326DA4" w14:paraId="7F91FEA6" w14:textId="77777777" w:rsidTr="0025113D">
        <w:tc>
          <w:tcPr>
            <w:tcW w:w="4508" w:type="dxa"/>
          </w:tcPr>
          <w:p w14:paraId="30A4566F" w14:textId="4FBC4EFF" w:rsidR="00326DA4" w:rsidRPr="00FC36DF" w:rsidRDefault="00326DA4" w:rsidP="00FC36DF">
            <w:pPr>
              <w:jc w:val="both"/>
              <w:rPr>
                <w:rFonts w:asciiTheme="minorHAnsi" w:hAnsiTheme="minorHAnsi" w:cstheme="minorHAnsi"/>
                <w:sz w:val="22"/>
                <w:lang w:val="fr-BE"/>
              </w:rPr>
            </w:pPr>
            <w:r w:rsidRPr="00FC36DF">
              <w:rPr>
                <w:rFonts w:asciiTheme="minorHAnsi" w:hAnsiTheme="minorHAnsi" w:cstheme="minorHAnsi"/>
                <w:sz w:val="22"/>
                <w:lang w:val="fr-BE"/>
              </w:rPr>
              <w:t xml:space="preserve">Les seules actions que les OPJ de l’IBPT peuvent entreprendre par rapport à ce type d’infraction est essayer d’exploiter les « traces numériques » qu’elles laissent. </w:t>
            </w:r>
          </w:p>
        </w:tc>
        <w:tc>
          <w:tcPr>
            <w:tcW w:w="4508" w:type="dxa"/>
          </w:tcPr>
          <w:p w14:paraId="2B949E84" w14:textId="062F64AF" w:rsidR="00326DA4" w:rsidRPr="00FC36DF" w:rsidRDefault="00326DA4" w:rsidP="00FC36DF">
            <w:pPr>
              <w:jc w:val="both"/>
              <w:rPr>
                <w:rFonts w:asciiTheme="minorHAnsi" w:hAnsiTheme="minorHAnsi" w:cstheme="minorHAnsi"/>
                <w:sz w:val="22"/>
              </w:rPr>
            </w:pPr>
            <w:r w:rsidRPr="00FC36DF">
              <w:rPr>
                <w:rFonts w:asciiTheme="minorHAnsi" w:hAnsiTheme="minorHAnsi" w:cstheme="minorHAnsi"/>
                <w:sz w:val="22"/>
              </w:rPr>
              <w:t xml:space="preserve">De enige acties die de </w:t>
            </w:r>
            <w:proofErr w:type="spellStart"/>
            <w:r w:rsidRPr="00FC36DF">
              <w:rPr>
                <w:rFonts w:asciiTheme="minorHAnsi" w:hAnsiTheme="minorHAnsi" w:cstheme="minorHAnsi"/>
                <w:sz w:val="22"/>
              </w:rPr>
              <w:t>OGP's</w:t>
            </w:r>
            <w:proofErr w:type="spellEnd"/>
            <w:r w:rsidRPr="00FC36DF">
              <w:rPr>
                <w:rFonts w:asciiTheme="minorHAnsi" w:hAnsiTheme="minorHAnsi" w:cstheme="minorHAnsi"/>
                <w:sz w:val="22"/>
              </w:rPr>
              <w:t xml:space="preserve"> van het BIPT mogen ondernemen ten aanzien van dergelijke inbreuken is te proberen om zich de “digitale sporen” die ze achterlaten, ten nutte te maken. </w:t>
            </w:r>
          </w:p>
        </w:tc>
      </w:tr>
      <w:tr w:rsidR="00DC0BDD" w:rsidRPr="00326DA4" w14:paraId="017BE7B8" w14:textId="77777777" w:rsidTr="0025113D">
        <w:tc>
          <w:tcPr>
            <w:tcW w:w="4508" w:type="dxa"/>
          </w:tcPr>
          <w:p w14:paraId="4D10D619" w14:textId="77777777" w:rsidR="00DC0BDD" w:rsidRPr="003A24C7" w:rsidRDefault="00DC0BDD" w:rsidP="00FC36DF">
            <w:pPr>
              <w:jc w:val="both"/>
              <w:rPr>
                <w:rFonts w:asciiTheme="minorHAnsi" w:hAnsiTheme="minorHAnsi" w:cstheme="minorHAnsi"/>
                <w:sz w:val="22"/>
              </w:rPr>
            </w:pPr>
          </w:p>
        </w:tc>
        <w:tc>
          <w:tcPr>
            <w:tcW w:w="4508" w:type="dxa"/>
          </w:tcPr>
          <w:p w14:paraId="19F25A38" w14:textId="77777777" w:rsidR="00DC0BDD" w:rsidRPr="00FC36DF" w:rsidRDefault="00DC0BDD" w:rsidP="00FC36DF">
            <w:pPr>
              <w:jc w:val="both"/>
              <w:rPr>
                <w:rFonts w:asciiTheme="minorHAnsi" w:hAnsiTheme="minorHAnsi" w:cstheme="minorHAnsi"/>
                <w:sz w:val="22"/>
              </w:rPr>
            </w:pPr>
          </w:p>
        </w:tc>
      </w:tr>
      <w:tr w:rsidR="00326DA4" w:rsidRPr="00326DA4" w14:paraId="4810C1D4" w14:textId="77777777" w:rsidTr="0025113D">
        <w:tc>
          <w:tcPr>
            <w:tcW w:w="4508" w:type="dxa"/>
          </w:tcPr>
          <w:p w14:paraId="1EE31833" w14:textId="6336368F" w:rsidR="00326DA4" w:rsidRPr="00FC36DF" w:rsidRDefault="00326DA4" w:rsidP="00FC36DF">
            <w:pPr>
              <w:jc w:val="both"/>
              <w:rPr>
                <w:rFonts w:asciiTheme="minorHAnsi" w:hAnsiTheme="minorHAnsi" w:cstheme="minorHAnsi"/>
                <w:sz w:val="22"/>
                <w:lang w:val="fr-BE"/>
              </w:rPr>
            </w:pPr>
            <w:r w:rsidRPr="00FC36DF">
              <w:rPr>
                <w:rFonts w:asciiTheme="minorHAnsi" w:hAnsiTheme="minorHAnsi" w:cstheme="minorHAnsi"/>
                <w:sz w:val="22"/>
                <w:lang w:val="fr-BE"/>
              </w:rPr>
              <w:t xml:space="preserve">La mesure la moins intrusive au niveau de la vie privée est d’essayer d’identifier l’auteur de la communication à l’origine de l’infraction. </w:t>
            </w:r>
          </w:p>
        </w:tc>
        <w:tc>
          <w:tcPr>
            <w:tcW w:w="4508" w:type="dxa"/>
          </w:tcPr>
          <w:p w14:paraId="0924139A" w14:textId="31D7F380" w:rsidR="00326DA4" w:rsidRPr="00FC36DF" w:rsidRDefault="00326DA4" w:rsidP="00FC36DF">
            <w:pPr>
              <w:jc w:val="both"/>
              <w:rPr>
                <w:rFonts w:asciiTheme="minorHAnsi" w:hAnsiTheme="minorHAnsi" w:cstheme="minorHAnsi"/>
                <w:sz w:val="22"/>
              </w:rPr>
            </w:pPr>
            <w:r w:rsidRPr="00FC36DF">
              <w:rPr>
                <w:rFonts w:asciiTheme="minorHAnsi" w:hAnsiTheme="minorHAnsi" w:cstheme="minorHAnsi"/>
                <w:sz w:val="22"/>
              </w:rPr>
              <w:t xml:space="preserve">De maatregel die het minst in de privacy indringt, bestaat erin om te proberen de auteur van de communicatie aan de oorsprong van de inbreuk te identificeren. </w:t>
            </w:r>
          </w:p>
        </w:tc>
      </w:tr>
      <w:tr w:rsidR="00DC0BDD" w:rsidRPr="00326DA4" w14:paraId="1A871A1D" w14:textId="77777777" w:rsidTr="0025113D">
        <w:tc>
          <w:tcPr>
            <w:tcW w:w="4508" w:type="dxa"/>
          </w:tcPr>
          <w:p w14:paraId="674B491B" w14:textId="77777777" w:rsidR="00DC0BDD" w:rsidRPr="003A24C7" w:rsidRDefault="00DC0BDD" w:rsidP="00FC36DF">
            <w:pPr>
              <w:jc w:val="both"/>
              <w:rPr>
                <w:rFonts w:asciiTheme="minorHAnsi" w:hAnsiTheme="minorHAnsi" w:cstheme="minorHAnsi"/>
                <w:sz w:val="22"/>
              </w:rPr>
            </w:pPr>
          </w:p>
        </w:tc>
        <w:tc>
          <w:tcPr>
            <w:tcW w:w="4508" w:type="dxa"/>
          </w:tcPr>
          <w:p w14:paraId="4E4079A2" w14:textId="77777777" w:rsidR="00DC0BDD" w:rsidRPr="00FC36DF" w:rsidRDefault="00DC0BDD" w:rsidP="00FC36DF">
            <w:pPr>
              <w:jc w:val="both"/>
              <w:rPr>
                <w:rFonts w:asciiTheme="minorHAnsi" w:hAnsiTheme="minorHAnsi" w:cstheme="minorHAnsi"/>
                <w:sz w:val="22"/>
              </w:rPr>
            </w:pPr>
          </w:p>
        </w:tc>
      </w:tr>
      <w:tr w:rsidR="00326DA4" w:rsidRPr="00326DA4" w14:paraId="6FFE2839" w14:textId="77777777" w:rsidTr="0025113D">
        <w:tc>
          <w:tcPr>
            <w:tcW w:w="4508" w:type="dxa"/>
          </w:tcPr>
          <w:p w14:paraId="45E8B569" w14:textId="44A55063" w:rsidR="00326DA4" w:rsidRPr="00FC36DF" w:rsidRDefault="00326DA4" w:rsidP="00FC36DF">
            <w:pPr>
              <w:jc w:val="both"/>
              <w:rPr>
                <w:rFonts w:asciiTheme="minorHAnsi" w:hAnsiTheme="minorHAnsi" w:cstheme="minorHAnsi"/>
                <w:sz w:val="22"/>
                <w:lang w:val="fr-BE"/>
              </w:rPr>
            </w:pPr>
            <w:r w:rsidRPr="00FC36DF">
              <w:rPr>
                <w:rFonts w:asciiTheme="minorHAnsi" w:hAnsiTheme="minorHAnsi" w:cstheme="minorHAnsi"/>
                <w:sz w:val="22"/>
                <w:lang w:val="fr-BE"/>
              </w:rPr>
              <w:t>Il en résulte que pour retrouver l’auteur de l’infraction, la marge de manœuvre des officiers de police judiciaires de l’IBPT est très limitée.</w:t>
            </w:r>
          </w:p>
        </w:tc>
        <w:tc>
          <w:tcPr>
            <w:tcW w:w="4508" w:type="dxa"/>
          </w:tcPr>
          <w:p w14:paraId="0B845D5B" w14:textId="1509CC78" w:rsidR="00326DA4" w:rsidRPr="00FC36DF" w:rsidRDefault="00326DA4" w:rsidP="00FC36DF">
            <w:pPr>
              <w:jc w:val="both"/>
              <w:rPr>
                <w:rFonts w:asciiTheme="minorHAnsi" w:hAnsiTheme="minorHAnsi" w:cstheme="minorHAnsi"/>
                <w:sz w:val="22"/>
              </w:rPr>
            </w:pPr>
            <w:r w:rsidRPr="00FC36DF">
              <w:rPr>
                <w:rFonts w:asciiTheme="minorHAnsi" w:hAnsiTheme="minorHAnsi" w:cstheme="minorHAnsi"/>
                <w:sz w:val="22"/>
              </w:rPr>
              <w:t>Daaruit vloeit voort dat om de pleger van de inbreuk te vinden, de bewegingsruimte van de officieren van gerechtelijke politie van het BIPT erg beperkt is.</w:t>
            </w:r>
          </w:p>
        </w:tc>
      </w:tr>
      <w:tr w:rsidR="00DC0BDD" w:rsidRPr="00326DA4" w14:paraId="7F3B5137" w14:textId="77777777" w:rsidTr="0025113D">
        <w:tc>
          <w:tcPr>
            <w:tcW w:w="4508" w:type="dxa"/>
          </w:tcPr>
          <w:p w14:paraId="533C6C05" w14:textId="77777777" w:rsidR="00DC0BDD" w:rsidRPr="003A24C7" w:rsidRDefault="00DC0BDD" w:rsidP="00FC36DF">
            <w:pPr>
              <w:jc w:val="both"/>
              <w:rPr>
                <w:rFonts w:asciiTheme="minorHAnsi" w:hAnsiTheme="minorHAnsi" w:cstheme="minorHAnsi"/>
                <w:sz w:val="22"/>
              </w:rPr>
            </w:pPr>
          </w:p>
        </w:tc>
        <w:tc>
          <w:tcPr>
            <w:tcW w:w="4508" w:type="dxa"/>
          </w:tcPr>
          <w:p w14:paraId="5008DE0C" w14:textId="77777777" w:rsidR="00DC0BDD" w:rsidRPr="00FC36DF" w:rsidRDefault="00DC0BDD" w:rsidP="00FC36DF">
            <w:pPr>
              <w:jc w:val="both"/>
              <w:rPr>
                <w:rFonts w:asciiTheme="minorHAnsi" w:hAnsiTheme="minorHAnsi" w:cstheme="minorHAnsi"/>
                <w:sz w:val="22"/>
              </w:rPr>
            </w:pPr>
          </w:p>
        </w:tc>
      </w:tr>
      <w:tr w:rsidR="00326DA4" w:rsidRPr="00326DA4" w14:paraId="774BF889" w14:textId="77777777" w:rsidTr="0025113D">
        <w:tc>
          <w:tcPr>
            <w:tcW w:w="4508" w:type="dxa"/>
          </w:tcPr>
          <w:p w14:paraId="045A0D72" w14:textId="33F5DDA7" w:rsidR="00326DA4" w:rsidRPr="00FC36DF" w:rsidRDefault="00326DA4" w:rsidP="00FC36DF">
            <w:pPr>
              <w:jc w:val="both"/>
              <w:rPr>
                <w:rFonts w:asciiTheme="minorHAnsi" w:hAnsiTheme="minorHAnsi" w:cstheme="minorHAnsi"/>
                <w:sz w:val="22"/>
                <w:lang w:val="fr-BE"/>
              </w:rPr>
            </w:pPr>
            <w:r w:rsidRPr="00FC36DF">
              <w:rPr>
                <w:rFonts w:asciiTheme="minorHAnsi" w:hAnsiTheme="minorHAnsi" w:cstheme="minorHAnsi"/>
                <w:sz w:val="22"/>
                <w:lang w:val="fr-BE"/>
              </w:rPr>
              <w:t>Une deuxième justification est que le paragraphe 1</w:t>
            </w:r>
            <w:r w:rsidRPr="00FC36DF">
              <w:rPr>
                <w:rFonts w:asciiTheme="minorHAnsi" w:hAnsiTheme="minorHAnsi" w:cstheme="minorHAnsi"/>
                <w:sz w:val="22"/>
                <w:vertAlign w:val="superscript"/>
                <w:lang w:val="fr-BE"/>
              </w:rPr>
              <w:t>er</w:t>
            </w:r>
            <w:r w:rsidRPr="00FC36DF">
              <w:rPr>
                <w:rFonts w:asciiTheme="minorHAnsi" w:hAnsiTheme="minorHAnsi" w:cstheme="minorHAnsi"/>
                <w:sz w:val="22"/>
                <w:lang w:val="fr-BE"/>
              </w:rPr>
              <w:t xml:space="preserve"> du nouvel article 25/1 de la loi IBPT-statut ne permet aux officiers de police judiciaire de l’IBPT de n’obtenir que des données d’identification (demande de données qui n’est pas considérée comme constituant une ingérence grave dans la vie privée des individus) et que l’autorisation du juge d’instruction est nécessaire conformément au paragraphe 2 pour obtenir des métadonnées (données constituant une ingérence grave dans la vie privée des individus).</w:t>
            </w:r>
          </w:p>
        </w:tc>
        <w:tc>
          <w:tcPr>
            <w:tcW w:w="4508" w:type="dxa"/>
          </w:tcPr>
          <w:p w14:paraId="0DC26FE9" w14:textId="7A452323" w:rsidR="00326DA4" w:rsidRPr="00FC36DF" w:rsidRDefault="00326DA4" w:rsidP="00FC36DF">
            <w:pPr>
              <w:jc w:val="both"/>
              <w:rPr>
                <w:rFonts w:asciiTheme="minorHAnsi" w:hAnsiTheme="minorHAnsi" w:cstheme="minorHAnsi"/>
                <w:sz w:val="22"/>
              </w:rPr>
            </w:pPr>
            <w:r w:rsidRPr="00FC36DF">
              <w:rPr>
                <w:rFonts w:asciiTheme="minorHAnsi" w:hAnsiTheme="minorHAnsi" w:cstheme="minorHAnsi"/>
                <w:sz w:val="22"/>
              </w:rPr>
              <w:t>Een tweede rechtvaardiging is dat paragraaf 1 van het nieuwe artikel 25/1 van de BIPT-statuutwet het aan de officieren van gerechtelijke politie van het BIPT enkel toestaat om identificatiegegevens te verkrijgen (verzoek om gegevens dat niet beschouwd wordt als een ernstige inmenging in de persoonlijke levenssfeer van de individuen) en dat overeenkomstig paragraaf 2 de toestemming van de onderzoeksrechter nodig is om metagegevens te verkrijgen (gegevens die wel een ernstige inmenging in de persoonlijke levenssfeer van de individuen vormen).</w:t>
            </w:r>
          </w:p>
        </w:tc>
      </w:tr>
      <w:tr w:rsidR="00DC0BDD" w:rsidRPr="00326DA4" w14:paraId="66F0C727" w14:textId="77777777" w:rsidTr="0025113D">
        <w:tc>
          <w:tcPr>
            <w:tcW w:w="4508" w:type="dxa"/>
          </w:tcPr>
          <w:p w14:paraId="34E26E0E" w14:textId="77777777" w:rsidR="00DC0BDD" w:rsidRPr="003A24C7" w:rsidRDefault="00DC0BDD" w:rsidP="00FC36DF">
            <w:pPr>
              <w:jc w:val="both"/>
              <w:rPr>
                <w:rFonts w:asciiTheme="minorHAnsi" w:hAnsiTheme="minorHAnsi" w:cstheme="minorHAnsi"/>
                <w:sz w:val="22"/>
              </w:rPr>
            </w:pPr>
          </w:p>
        </w:tc>
        <w:tc>
          <w:tcPr>
            <w:tcW w:w="4508" w:type="dxa"/>
          </w:tcPr>
          <w:p w14:paraId="6DA4D0F2" w14:textId="77777777" w:rsidR="00DC0BDD" w:rsidRPr="00FC36DF" w:rsidRDefault="00DC0BDD" w:rsidP="00FC36DF">
            <w:pPr>
              <w:jc w:val="both"/>
              <w:rPr>
                <w:rFonts w:asciiTheme="minorHAnsi" w:hAnsiTheme="minorHAnsi" w:cstheme="minorHAnsi"/>
                <w:sz w:val="22"/>
              </w:rPr>
            </w:pPr>
          </w:p>
        </w:tc>
      </w:tr>
      <w:tr w:rsidR="00326DA4" w:rsidRPr="00326DA4" w14:paraId="761C0D26" w14:textId="77777777" w:rsidTr="0025113D">
        <w:tc>
          <w:tcPr>
            <w:tcW w:w="4508" w:type="dxa"/>
          </w:tcPr>
          <w:p w14:paraId="388A9722" w14:textId="4961DCE4" w:rsidR="00326DA4" w:rsidRPr="00FC36DF" w:rsidRDefault="00326DA4" w:rsidP="00FC36DF">
            <w:pPr>
              <w:jc w:val="both"/>
              <w:rPr>
                <w:rFonts w:asciiTheme="minorHAnsi" w:hAnsiTheme="minorHAnsi" w:cstheme="minorHAnsi"/>
                <w:sz w:val="22"/>
                <w:lang w:val="fr-BE"/>
              </w:rPr>
            </w:pPr>
            <w:r w:rsidRPr="00FC36DF">
              <w:rPr>
                <w:rFonts w:asciiTheme="minorHAnsi" w:hAnsiTheme="minorHAnsi" w:cstheme="minorHAnsi"/>
                <w:sz w:val="22"/>
                <w:lang w:val="fr-BE"/>
              </w:rPr>
              <w:t>Une troisième justification est qu’il ressort de la pratique que du fait de la charge de travail très élevée des procureurs du Roi, un temps considérablement long peut être nécessaire avant qu’un officier de police judiciaire de l’IBPT n’obtienne un réquisitoire du procureur du Roi. Or, il est important que les autorités répressives agissent rapidement en cas de fraudes, qui par ailleurs connaissent une forte augmentation ces dernières années (par exemple le smishing). Les mesures et efforts pour combattre les fraudes ne doivent pas uniquement venir des opérateurs (voir le nouvel article 121/6 de la loi télécom et les modifications aux articles 122 et 123 de cette même loi dans le cadre du p</w:t>
            </w:r>
            <w:r w:rsidRPr="00FC36DF">
              <w:rPr>
                <w:rFonts w:asciiTheme="minorHAnsi" w:hAnsiTheme="minorHAnsi" w:cstheme="minorHAnsi"/>
                <w:spacing w:val="-3"/>
                <w:sz w:val="22"/>
                <w:lang w:val="fr-BE"/>
              </w:rPr>
              <w:t>rojet de loi relatif à la collecte et à la conservation des données d’identification et des métadonnées dans le secteur des communications électroniques et à la fourniture de ces données aux autorités) mais également des autorités.</w:t>
            </w:r>
            <w:r w:rsidRPr="00FC36DF">
              <w:rPr>
                <w:rFonts w:asciiTheme="minorHAnsi" w:hAnsiTheme="minorHAnsi" w:cstheme="minorHAnsi"/>
                <w:b/>
                <w:spacing w:val="-3"/>
                <w:sz w:val="22"/>
                <w:lang w:val="fr-BE"/>
              </w:rPr>
              <w:t xml:space="preserve"> </w:t>
            </w:r>
          </w:p>
        </w:tc>
        <w:tc>
          <w:tcPr>
            <w:tcW w:w="4508" w:type="dxa"/>
          </w:tcPr>
          <w:p w14:paraId="37D4B477" w14:textId="4A63F550" w:rsidR="00326DA4" w:rsidRPr="00FC36DF" w:rsidRDefault="00326DA4" w:rsidP="00FC36DF">
            <w:pPr>
              <w:jc w:val="both"/>
              <w:rPr>
                <w:rFonts w:asciiTheme="minorHAnsi" w:hAnsiTheme="minorHAnsi" w:cstheme="minorHAnsi"/>
                <w:sz w:val="22"/>
              </w:rPr>
            </w:pPr>
            <w:r w:rsidRPr="00FC36DF">
              <w:rPr>
                <w:rFonts w:asciiTheme="minorHAnsi" w:hAnsiTheme="minorHAnsi" w:cstheme="minorHAnsi"/>
                <w:sz w:val="22"/>
              </w:rPr>
              <w:t xml:space="preserve">Een derde rechtvaardiging is dat uit de praktijk blijkt dat wegens de erg hoge werklast van de procureurs des Konings aanzienlijk veel tijd nodig kan zijn voordat een officier van gerechtelijke politie van het BIPT vanwege de procureur des Konings een vordering ontvangt. Welnu, het is belangrijk dat de rechtshandhavingsautoriteiten snel optreden in fraudegevallen, die de jongste jaren trouwens sterk toenemen (bijvoorbeeld </w:t>
            </w:r>
            <w:proofErr w:type="spellStart"/>
            <w:r w:rsidRPr="00FC36DF">
              <w:rPr>
                <w:rFonts w:asciiTheme="minorHAnsi" w:hAnsiTheme="minorHAnsi" w:cstheme="minorHAnsi"/>
                <w:sz w:val="22"/>
              </w:rPr>
              <w:t>smishing</w:t>
            </w:r>
            <w:proofErr w:type="spellEnd"/>
            <w:r w:rsidRPr="00FC36DF">
              <w:rPr>
                <w:rFonts w:asciiTheme="minorHAnsi" w:hAnsiTheme="minorHAnsi" w:cstheme="minorHAnsi"/>
                <w:sz w:val="22"/>
              </w:rPr>
              <w:t>). De maatregelen en inspanningen om de fraude te bestrijden, moeten niet enkel komen van de operatoren (zie het nieuwe artikel 121/6 van de telecomwet en de wijzigingen in de artikelen 122 en 123 van diezelfde wet in het kader van het wetsontwerp betreffende het verzamelen en het bewaren van de identificatiegegevens en van metagegevens in de sector van de elektronische communicatie en de verstrekking ervan aan de autoriteiten), maar ook van de autoriteiten.</w:t>
            </w:r>
            <w:r w:rsidRPr="00FC36DF">
              <w:rPr>
                <w:rFonts w:asciiTheme="minorHAnsi" w:hAnsiTheme="minorHAnsi" w:cstheme="minorHAnsi"/>
                <w:b/>
                <w:sz w:val="22"/>
              </w:rPr>
              <w:t xml:space="preserve"> </w:t>
            </w:r>
          </w:p>
        </w:tc>
      </w:tr>
      <w:tr w:rsidR="00DC0BDD" w:rsidRPr="00326DA4" w14:paraId="70A0D4B3" w14:textId="77777777" w:rsidTr="0025113D">
        <w:tc>
          <w:tcPr>
            <w:tcW w:w="4508" w:type="dxa"/>
          </w:tcPr>
          <w:p w14:paraId="5D4D70E3" w14:textId="77777777" w:rsidR="00DC0BDD" w:rsidRPr="003A24C7" w:rsidRDefault="00DC0BDD" w:rsidP="00FC36DF">
            <w:pPr>
              <w:jc w:val="both"/>
              <w:rPr>
                <w:rFonts w:asciiTheme="minorHAnsi" w:hAnsiTheme="minorHAnsi" w:cstheme="minorHAnsi"/>
                <w:sz w:val="22"/>
              </w:rPr>
            </w:pPr>
          </w:p>
        </w:tc>
        <w:tc>
          <w:tcPr>
            <w:tcW w:w="4508" w:type="dxa"/>
          </w:tcPr>
          <w:p w14:paraId="7EF0A2C1" w14:textId="77777777" w:rsidR="00DC0BDD" w:rsidRPr="00FC36DF" w:rsidRDefault="00DC0BDD" w:rsidP="00FC36DF">
            <w:pPr>
              <w:jc w:val="both"/>
              <w:rPr>
                <w:rFonts w:asciiTheme="minorHAnsi" w:hAnsiTheme="minorHAnsi" w:cstheme="minorHAnsi"/>
                <w:sz w:val="22"/>
              </w:rPr>
            </w:pPr>
          </w:p>
        </w:tc>
      </w:tr>
      <w:tr w:rsidR="00326DA4" w:rsidRPr="00326DA4" w14:paraId="1EEBCACE" w14:textId="77777777" w:rsidTr="0025113D">
        <w:tc>
          <w:tcPr>
            <w:tcW w:w="4508" w:type="dxa"/>
          </w:tcPr>
          <w:p w14:paraId="2D31556E" w14:textId="77C6D9C6" w:rsidR="00326DA4" w:rsidRPr="00FC36DF" w:rsidRDefault="00326DA4" w:rsidP="00FC36DF">
            <w:pPr>
              <w:jc w:val="both"/>
              <w:rPr>
                <w:rFonts w:asciiTheme="minorHAnsi" w:hAnsiTheme="minorHAnsi" w:cstheme="minorHAnsi"/>
                <w:sz w:val="22"/>
                <w:lang w:val="fr-BE"/>
              </w:rPr>
            </w:pPr>
            <w:r w:rsidRPr="00FC36DF">
              <w:rPr>
                <w:rFonts w:asciiTheme="minorHAnsi" w:hAnsiTheme="minorHAnsi" w:cstheme="minorHAnsi"/>
                <w:sz w:val="22"/>
                <w:lang w:val="fr-BE"/>
              </w:rPr>
              <w:t xml:space="preserve">Concernant la justification de pouvoir requérir des données du secteur bancaire, des centres fermés ou lieux d’hébergements ou d’autres personnes morales, il est renvoyé à l’amendement </w:t>
            </w:r>
            <w:proofErr w:type="spellStart"/>
            <w:r w:rsidRPr="00FC36DF">
              <w:rPr>
                <w:rFonts w:asciiTheme="minorHAnsi" w:hAnsiTheme="minorHAnsi" w:cstheme="minorHAnsi"/>
                <w:sz w:val="22"/>
                <w:lang w:val="fr-BE"/>
              </w:rPr>
              <w:t>n°XX</w:t>
            </w:r>
            <w:proofErr w:type="spellEnd"/>
            <w:r w:rsidRPr="00FC36DF">
              <w:rPr>
                <w:rFonts w:asciiTheme="minorHAnsi" w:hAnsiTheme="minorHAnsi" w:cstheme="minorHAnsi"/>
                <w:sz w:val="22"/>
                <w:lang w:val="fr-BE"/>
              </w:rPr>
              <w:t xml:space="preserve"> qui complète l’article 46bis du Code d’instruction criminelle. </w:t>
            </w:r>
          </w:p>
        </w:tc>
        <w:tc>
          <w:tcPr>
            <w:tcW w:w="4508" w:type="dxa"/>
          </w:tcPr>
          <w:p w14:paraId="58A722B8" w14:textId="229D675C" w:rsidR="00326DA4" w:rsidRPr="00FC36DF" w:rsidRDefault="00326DA4" w:rsidP="00FC36DF">
            <w:pPr>
              <w:jc w:val="both"/>
              <w:rPr>
                <w:rFonts w:asciiTheme="minorHAnsi" w:hAnsiTheme="minorHAnsi" w:cstheme="minorHAnsi"/>
                <w:sz w:val="22"/>
              </w:rPr>
            </w:pPr>
            <w:r w:rsidRPr="00FC36DF">
              <w:rPr>
                <w:rFonts w:asciiTheme="minorHAnsi" w:hAnsiTheme="minorHAnsi" w:cstheme="minorHAnsi"/>
                <w:sz w:val="22"/>
              </w:rPr>
              <w:t xml:space="preserve">Voor de rechtvaardiging om gegevens te mogen vorderen van de banksector, de gesloten centra of woonunits of van andere rechtspersonen, wordt verwezen naar amendement nr. XX, dat artikel 46bis van het Wetboek van Strafvordering aanvult. </w:t>
            </w:r>
          </w:p>
        </w:tc>
      </w:tr>
      <w:tr w:rsidR="00326DA4" w:rsidRPr="00326DA4" w14:paraId="4FA3102B" w14:textId="77777777" w:rsidTr="0025113D">
        <w:tc>
          <w:tcPr>
            <w:tcW w:w="4508" w:type="dxa"/>
          </w:tcPr>
          <w:p w14:paraId="56D01222" w14:textId="77777777" w:rsidR="00326DA4" w:rsidRPr="00FC36DF" w:rsidRDefault="00326DA4" w:rsidP="00FC36DF">
            <w:pPr>
              <w:jc w:val="both"/>
              <w:rPr>
                <w:rFonts w:asciiTheme="minorHAnsi" w:hAnsiTheme="minorHAnsi" w:cstheme="minorHAnsi"/>
                <w:sz w:val="22"/>
              </w:rPr>
            </w:pPr>
          </w:p>
        </w:tc>
        <w:tc>
          <w:tcPr>
            <w:tcW w:w="4508" w:type="dxa"/>
          </w:tcPr>
          <w:p w14:paraId="07547F44" w14:textId="77777777" w:rsidR="00326DA4" w:rsidRPr="00FC36DF" w:rsidRDefault="00326DA4" w:rsidP="00FC36DF">
            <w:pPr>
              <w:jc w:val="both"/>
              <w:rPr>
                <w:rFonts w:asciiTheme="minorHAnsi" w:hAnsiTheme="minorHAnsi" w:cstheme="minorHAnsi"/>
                <w:sz w:val="22"/>
              </w:rPr>
            </w:pPr>
          </w:p>
        </w:tc>
      </w:tr>
      <w:tr w:rsidR="00326DA4" w:rsidRPr="00DC0BDD" w14:paraId="60A7E7D4" w14:textId="77777777" w:rsidTr="0025113D">
        <w:tc>
          <w:tcPr>
            <w:tcW w:w="4508" w:type="dxa"/>
          </w:tcPr>
          <w:p w14:paraId="36BB5A6D" w14:textId="77777777" w:rsidR="00DC0BDD" w:rsidRPr="00FC36DF" w:rsidRDefault="00DC0BDD" w:rsidP="00FC36DF">
            <w:pPr>
              <w:pStyle w:val="Body"/>
              <w:spacing w:before="0" w:after="0"/>
              <w:rPr>
                <w:rFonts w:asciiTheme="minorHAnsi" w:hAnsiTheme="minorHAnsi" w:cstheme="minorHAnsi"/>
                <w:sz w:val="22"/>
                <w:szCs w:val="22"/>
              </w:rPr>
            </w:pPr>
            <w:r w:rsidRPr="00FC36DF">
              <w:rPr>
                <w:rFonts w:asciiTheme="minorHAnsi" w:hAnsiTheme="minorHAnsi" w:cstheme="minorHAnsi"/>
                <w:sz w:val="22"/>
                <w:szCs w:val="22"/>
              </w:rPr>
              <w:t xml:space="preserve">Lorsque l’opérateur a mis en œuvre la méthode d’identification de l’abonné par conservation de la référence de paiement en cas de paiement en ligne (voir article 127 de la loi télécom), l’OPJ de l’IBPT obtiendra d’abord cette référence de paiement de l’opérateur (par exemple 11 chiffres relatifs  à la recharge d’une carte prépayée et la date et l’heure de paiement). A l’heure actuelle, il conviendra alors de demander à un organisme de paiement  de fournir à l’OPJ le numéro de la carte bancaire qui a été utilisée pour effectuer le paiement. Une aide de l’ASBL </w:t>
            </w:r>
            <w:proofErr w:type="spellStart"/>
            <w:r w:rsidRPr="00FC36DF">
              <w:rPr>
                <w:rFonts w:asciiTheme="minorHAnsi" w:hAnsiTheme="minorHAnsi" w:cstheme="minorHAnsi"/>
                <w:sz w:val="22"/>
                <w:szCs w:val="22"/>
              </w:rPr>
              <w:t>Febelfin</w:t>
            </w:r>
            <w:proofErr w:type="spellEnd"/>
            <w:r w:rsidRPr="00FC36DF">
              <w:rPr>
                <w:rFonts w:asciiTheme="minorHAnsi" w:hAnsiTheme="minorHAnsi" w:cstheme="minorHAnsi"/>
                <w:sz w:val="22"/>
                <w:szCs w:val="22"/>
              </w:rPr>
              <w:t xml:space="preserve"> est parfois nécessaire car le numéro de carte bancaire ne permet pas toujours de déduire directement la banque concernée (certains chiffres de la carte bancaire peuvent être cachés). Après avoir été requise, la banque donnera à l’OPJ alors les informations suivantes :</w:t>
            </w:r>
          </w:p>
          <w:p w14:paraId="3DB031DD" w14:textId="77777777" w:rsidR="00326DA4" w:rsidRPr="00FC36DF" w:rsidRDefault="00326DA4" w:rsidP="00FC36DF">
            <w:pPr>
              <w:jc w:val="both"/>
              <w:rPr>
                <w:rFonts w:asciiTheme="minorHAnsi" w:hAnsiTheme="minorHAnsi" w:cstheme="minorHAnsi"/>
                <w:sz w:val="22"/>
                <w:lang w:val="fr-BE"/>
              </w:rPr>
            </w:pPr>
          </w:p>
        </w:tc>
        <w:tc>
          <w:tcPr>
            <w:tcW w:w="4508" w:type="dxa"/>
          </w:tcPr>
          <w:p w14:paraId="2B75C8DF" w14:textId="0227804E" w:rsidR="00326DA4" w:rsidRPr="00FC36DF" w:rsidRDefault="00DC0BDD" w:rsidP="00C81441">
            <w:pPr>
              <w:pStyle w:val="Body"/>
              <w:spacing w:before="0" w:after="0"/>
              <w:rPr>
                <w:rFonts w:asciiTheme="minorHAnsi" w:hAnsiTheme="minorHAnsi" w:cstheme="minorHAnsi"/>
                <w:sz w:val="22"/>
                <w:szCs w:val="22"/>
                <w:lang w:val="nl-BE"/>
              </w:rPr>
            </w:pPr>
            <w:r w:rsidRPr="00FC36DF">
              <w:rPr>
                <w:rFonts w:asciiTheme="minorHAnsi" w:hAnsiTheme="minorHAnsi" w:cstheme="minorHAnsi"/>
                <w:sz w:val="22"/>
                <w:szCs w:val="22"/>
                <w:lang w:val="nl-BE"/>
              </w:rPr>
              <w:t xml:space="preserve">Wanneer de operator de methode van identificatie van de abonnee via bewaring van de referentie van de </w:t>
            </w:r>
            <w:r w:rsidRPr="00AD32FE">
              <w:rPr>
                <w:rFonts w:asciiTheme="minorHAnsi" w:hAnsiTheme="minorHAnsi" w:cstheme="minorHAnsi"/>
                <w:sz w:val="22"/>
                <w:szCs w:val="22"/>
                <w:lang w:val="nl-BE"/>
              </w:rPr>
              <w:t xml:space="preserve">betalingstransactie in geval van onlinebetaling heeft </w:t>
            </w:r>
            <w:r w:rsidR="00C81441" w:rsidRPr="00AD32FE">
              <w:rPr>
                <w:rFonts w:asciiTheme="minorHAnsi" w:hAnsiTheme="minorHAnsi" w:cstheme="minorHAnsi"/>
                <w:sz w:val="22"/>
                <w:szCs w:val="22"/>
                <w:lang w:val="nl-BE"/>
              </w:rPr>
              <w:t>toegepast</w:t>
            </w:r>
            <w:r w:rsidRPr="00AD32FE">
              <w:rPr>
                <w:rFonts w:asciiTheme="minorHAnsi" w:hAnsiTheme="minorHAnsi" w:cstheme="minorHAnsi"/>
                <w:sz w:val="22"/>
                <w:szCs w:val="22"/>
                <w:lang w:val="nl-BE"/>
              </w:rPr>
              <w:t xml:space="preserve"> (zie artikel 127 van de telecomwet), zal de</w:t>
            </w:r>
            <w:r w:rsidRPr="00FC36DF">
              <w:rPr>
                <w:rFonts w:asciiTheme="minorHAnsi" w:hAnsiTheme="minorHAnsi" w:cstheme="minorHAnsi"/>
                <w:sz w:val="22"/>
                <w:szCs w:val="22"/>
                <w:lang w:val="nl-BE"/>
              </w:rPr>
              <w:t xml:space="preserve"> OGP van het BIPT eerst die referentie van de betaling krijgen van de operator (bijvoorbeeld 11 cijfers voor het herladen van de </w:t>
            </w:r>
            <w:proofErr w:type="spellStart"/>
            <w:r w:rsidRPr="00FC36DF">
              <w:rPr>
                <w:rFonts w:asciiTheme="minorHAnsi" w:hAnsiTheme="minorHAnsi" w:cstheme="minorHAnsi"/>
                <w:sz w:val="22"/>
                <w:szCs w:val="22"/>
                <w:lang w:val="nl-BE"/>
              </w:rPr>
              <w:t>voorafbetaalde</w:t>
            </w:r>
            <w:proofErr w:type="spellEnd"/>
            <w:r w:rsidRPr="00FC36DF">
              <w:rPr>
                <w:rFonts w:asciiTheme="minorHAnsi" w:hAnsiTheme="minorHAnsi" w:cstheme="minorHAnsi"/>
                <w:sz w:val="22"/>
                <w:szCs w:val="22"/>
                <w:lang w:val="nl-BE"/>
              </w:rPr>
              <w:t xml:space="preserve"> kaart en de datum en het tijdstip van de betaling). Momenteel past het dan om aan een betalingsorganisme te vragen om aan de OGP het nummer te verstrekken van de bankkaart die gebruikt is om de betaling te verrichten. Soms is de hulp van de VZW Febelfin nodig omdat het niet altijd mogelijk is om aan de hand van het bankkaartnummer de bank in kwestie rechtstreeks daarvan af te leiden (sommige cijfers van de bankkaart kunnen verborgen zijn). Na daartoe te zijn gevorderd zal de bank aan de OGP dan de volgende inlichtingen verstrekken:</w:t>
            </w:r>
          </w:p>
        </w:tc>
      </w:tr>
      <w:tr w:rsidR="00326DA4" w:rsidRPr="00DC0BDD" w14:paraId="0E2AD019" w14:textId="77777777" w:rsidTr="0025113D">
        <w:tc>
          <w:tcPr>
            <w:tcW w:w="4508" w:type="dxa"/>
          </w:tcPr>
          <w:p w14:paraId="7D342E45" w14:textId="77777777" w:rsidR="00326DA4" w:rsidRPr="00FC36DF" w:rsidRDefault="00326DA4" w:rsidP="00FC36DF">
            <w:pPr>
              <w:jc w:val="both"/>
              <w:rPr>
                <w:rFonts w:asciiTheme="minorHAnsi" w:hAnsiTheme="minorHAnsi" w:cstheme="minorHAnsi"/>
                <w:sz w:val="22"/>
              </w:rPr>
            </w:pPr>
          </w:p>
        </w:tc>
        <w:tc>
          <w:tcPr>
            <w:tcW w:w="4508" w:type="dxa"/>
          </w:tcPr>
          <w:p w14:paraId="55E004F3" w14:textId="77777777" w:rsidR="00326DA4" w:rsidRPr="00FC36DF" w:rsidRDefault="00326DA4" w:rsidP="00FC36DF">
            <w:pPr>
              <w:jc w:val="both"/>
              <w:rPr>
                <w:rFonts w:asciiTheme="minorHAnsi" w:hAnsiTheme="minorHAnsi" w:cstheme="minorHAnsi"/>
                <w:sz w:val="22"/>
              </w:rPr>
            </w:pPr>
          </w:p>
        </w:tc>
      </w:tr>
      <w:tr w:rsidR="00326DA4" w:rsidRPr="00DC0BDD" w14:paraId="44F88512" w14:textId="77777777" w:rsidTr="0025113D">
        <w:tc>
          <w:tcPr>
            <w:tcW w:w="4508" w:type="dxa"/>
          </w:tcPr>
          <w:p w14:paraId="1B7DFF30" w14:textId="5DA65F12" w:rsidR="00326DA4" w:rsidRPr="00FC36DF" w:rsidRDefault="00DC0BDD" w:rsidP="00FC36DF">
            <w:pPr>
              <w:pStyle w:val="Body"/>
              <w:numPr>
                <w:ilvl w:val="0"/>
                <w:numId w:val="8"/>
              </w:numPr>
              <w:spacing w:before="0" w:after="0"/>
              <w:rPr>
                <w:rFonts w:asciiTheme="minorHAnsi" w:hAnsiTheme="minorHAnsi" w:cstheme="minorHAnsi"/>
                <w:sz w:val="22"/>
                <w:szCs w:val="22"/>
              </w:rPr>
            </w:pPr>
            <w:r w:rsidRPr="00FC36DF">
              <w:rPr>
                <w:rFonts w:asciiTheme="minorHAnsi" w:hAnsiTheme="minorHAnsi" w:cstheme="minorHAnsi"/>
                <w:sz w:val="22"/>
                <w:szCs w:val="22"/>
              </w:rPr>
              <w:t xml:space="preserve">Le nom, le prénom, l’adresse et la date de naissance du titulaire du compte ; </w:t>
            </w:r>
          </w:p>
        </w:tc>
        <w:tc>
          <w:tcPr>
            <w:tcW w:w="4508" w:type="dxa"/>
          </w:tcPr>
          <w:p w14:paraId="4BB39F71" w14:textId="10AD71FA" w:rsidR="00DC0BDD" w:rsidRPr="00FC36DF" w:rsidRDefault="00DC0BDD" w:rsidP="00FC36DF">
            <w:pPr>
              <w:pStyle w:val="Body"/>
              <w:numPr>
                <w:ilvl w:val="0"/>
                <w:numId w:val="8"/>
              </w:numPr>
              <w:spacing w:before="0" w:after="0"/>
              <w:rPr>
                <w:rFonts w:asciiTheme="minorHAnsi" w:hAnsiTheme="minorHAnsi" w:cstheme="minorHAnsi"/>
                <w:sz w:val="22"/>
                <w:szCs w:val="22"/>
                <w:lang w:val="nl-BE"/>
              </w:rPr>
            </w:pPr>
            <w:r w:rsidRPr="00FC36DF">
              <w:rPr>
                <w:rFonts w:asciiTheme="minorHAnsi" w:hAnsiTheme="minorHAnsi" w:cstheme="minorHAnsi"/>
                <w:sz w:val="22"/>
                <w:szCs w:val="22"/>
                <w:lang w:val="nl-BE"/>
              </w:rPr>
              <w:t xml:space="preserve">de naam, de voornaam, het adres en de geboortedatum van de rekeninghouder; </w:t>
            </w:r>
          </w:p>
        </w:tc>
      </w:tr>
      <w:tr w:rsidR="00326DA4" w:rsidRPr="00DC0BDD" w14:paraId="2D1D949A" w14:textId="77777777" w:rsidTr="0025113D">
        <w:tc>
          <w:tcPr>
            <w:tcW w:w="4508" w:type="dxa"/>
          </w:tcPr>
          <w:p w14:paraId="0D15E746" w14:textId="77777777" w:rsidR="00326DA4" w:rsidRPr="00FC36DF" w:rsidRDefault="00326DA4" w:rsidP="00FC36DF">
            <w:pPr>
              <w:jc w:val="both"/>
              <w:rPr>
                <w:rFonts w:asciiTheme="minorHAnsi" w:hAnsiTheme="minorHAnsi" w:cstheme="minorHAnsi"/>
                <w:sz w:val="22"/>
              </w:rPr>
            </w:pPr>
          </w:p>
        </w:tc>
        <w:tc>
          <w:tcPr>
            <w:tcW w:w="4508" w:type="dxa"/>
          </w:tcPr>
          <w:p w14:paraId="1C5612D7" w14:textId="77777777" w:rsidR="00326DA4" w:rsidRPr="00FC36DF" w:rsidRDefault="00326DA4" w:rsidP="00FC36DF">
            <w:pPr>
              <w:jc w:val="both"/>
              <w:rPr>
                <w:rFonts w:asciiTheme="minorHAnsi" w:hAnsiTheme="minorHAnsi" w:cstheme="minorHAnsi"/>
                <w:sz w:val="22"/>
              </w:rPr>
            </w:pPr>
          </w:p>
        </w:tc>
      </w:tr>
      <w:tr w:rsidR="00326DA4" w:rsidRPr="00DC0BDD" w14:paraId="76D5A374" w14:textId="77777777" w:rsidTr="0025113D">
        <w:tc>
          <w:tcPr>
            <w:tcW w:w="4508" w:type="dxa"/>
          </w:tcPr>
          <w:p w14:paraId="62DAB142" w14:textId="15821144" w:rsidR="00326DA4" w:rsidRPr="00FC36DF" w:rsidRDefault="00DC0BDD" w:rsidP="00FC36DF">
            <w:pPr>
              <w:pStyle w:val="Body"/>
              <w:numPr>
                <w:ilvl w:val="0"/>
                <w:numId w:val="8"/>
              </w:numPr>
              <w:spacing w:before="0" w:after="0"/>
              <w:rPr>
                <w:rFonts w:asciiTheme="minorHAnsi" w:hAnsiTheme="minorHAnsi" w:cstheme="minorHAnsi"/>
                <w:sz w:val="22"/>
                <w:szCs w:val="22"/>
              </w:rPr>
            </w:pPr>
            <w:r w:rsidRPr="00FC36DF">
              <w:rPr>
                <w:rFonts w:asciiTheme="minorHAnsi" w:hAnsiTheme="minorHAnsi" w:cstheme="minorHAnsi"/>
                <w:sz w:val="22"/>
                <w:szCs w:val="22"/>
              </w:rPr>
              <w:t xml:space="preserve">Le numéro du compte bancaire du titulaire ; </w:t>
            </w:r>
          </w:p>
        </w:tc>
        <w:tc>
          <w:tcPr>
            <w:tcW w:w="4508" w:type="dxa"/>
          </w:tcPr>
          <w:p w14:paraId="7ACF1E98" w14:textId="6A3E8C69" w:rsidR="00326DA4" w:rsidRPr="00FC36DF" w:rsidRDefault="00DC0BDD" w:rsidP="00FC36DF">
            <w:pPr>
              <w:pStyle w:val="Body"/>
              <w:numPr>
                <w:ilvl w:val="0"/>
                <w:numId w:val="8"/>
              </w:numPr>
              <w:spacing w:before="0" w:after="0"/>
              <w:rPr>
                <w:rFonts w:asciiTheme="minorHAnsi" w:hAnsiTheme="minorHAnsi" w:cstheme="minorHAnsi"/>
                <w:sz w:val="22"/>
                <w:szCs w:val="22"/>
                <w:lang w:val="nl-BE"/>
              </w:rPr>
            </w:pPr>
            <w:r w:rsidRPr="00FC36DF">
              <w:rPr>
                <w:rFonts w:asciiTheme="minorHAnsi" w:hAnsiTheme="minorHAnsi" w:cstheme="minorHAnsi"/>
                <w:sz w:val="22"/>
                <w:szCs w:val="22"/>
                <w:lang w:val="nl-BE"/>
              </w:rPr>
              <w:t xml:space="preserve">het bankrekeningnummer van de </w:t>
            </w:r>
            <w:r w:rsidR="00AD32FE">
              <w:rPr>
                <w:rFonts w:asciiTheme="minorHAnsi" w:hAnsiTheme="minorHAnsi" w:cstheme="minorHAnsi"/>
                <w:sz w:val="22"/>
                <w:szCs w:val="22"/>
                <w:lang w:val="nl-BE"/>
              </w:rPr>
              <w:t>titularis</w:t>
            </w:r>
            <w:r w:rsidRPr="00FC36DF">
              <w:rPr>
                <w:rFonts w:asciiTheme="minorHAnsi" w:hAnsiTheme="minorHAnsi" w:cstheme="minorHAnsi"/>
                <w:sz w:val="22"/>
                <w:szCs w:val="22"/>
                <w:lang w:val="nl-BE"/>
              </w:rPr>
              <w:t xml:space="preserve">; </w:t>
            </w:r>
          </w:p>
        </w:tc>
      </w:tr>
      <w:tr w:rsidR="00326DA4" w:rsidRPr="00DC0BDD" w14:paraId="3DC40778" w14:textId="77777777" w:rsidTr="0025113D">
        <w:tc>
          <w:tcPr>
            <w:tcW w:w="4508" w:type="dxa"/>
          </w:tcPr>
          <w:p w14:paraId="7CEC8B41" w14:textId="77777777" w:rsidR="00326DA4" w:rsidRPr="00FC36DF" w:rsidRDefault="00326DA4" w:rsidP="00FC36DF">
            <w:pPr>
              <w:jc w:val="both"/>
              <w:rPr>
                <w:rFonts w:asciiTheme="minorHAnsi" w:hAnsiTheme="minorHAnsi" w:cstheme="minorHAnsi"/>
                <w:sz w:val="22"/>
              </w:rPr>
            </w:pPr>
          </w:p>
        </w:tc>
        <w:tc>
          <w:tcPr>
            <w:tcW w:w="4508" w:type="dxa"/>
          </w:tcPr>
          <w:p w14:paraId="19A72F08" w14:textId="77777777" w:rsidR="00326DA4" w:rsidRPr="00FC36DF" w:rsidRDefault="00326DA4" w:rsidP="00FC36DF">
            <w:pPr>
              <w:jc w:val="both"/>
              <w:rPr>
                <w:rFonts w:asciiTheme="minorHAnsi" w:hAnsiTheme="minorHAnsi" w:cstheme="minorHAnsi"/>
                <w:sz w:val="22"/>
              </w:rPr>
            </w:pPr>
          </w:p>
        </w:tc>
      </w:tr>
      <w:tr w:rsidR="00326DA4" w:rsidRPr="00DC0BDD" w14:paraId="35A690A3" w14:textId="77777777" w:rsidTr="0025113D">
        <w:tc>
          <w:tcPr>
            <w:tcW w:w="4508" w:type="dxa"/>
          </w:tcPr>
          <w:p w14:paraId="245F5DF6" w14:textId="52444214" w:rsidR="00326DA4" w:rsidRPr="00FC36DF" w:rsidRDefault="00DC0BDD" w:rsidP="00FC36DF">
            <w:pPr>
              <w:pStyle w:val="Body"/>
              <w:numPr>
                <w:ilvl w:val="0"/>
                <w:numId w:val="8"/>
              </w:numPr>
              <w:spacing w:before="0" w:after="0"/>
              <w:rPr>
                <w:rFonts w:asciiTheme="minorHAnsi" w:hAnsiTheme="minorHAnsi" w:cstheme="minorHAnsi"/>
                <w:sz w:val="22"/>
                <w:szCs w:val="22"/>
              </w:rPr>
            </w:pPr>
            <w:r w:rsidRPr="00FC36DF">
              <w:rPr>
                <w:rFonts w:asciiTheme="minorHAnsi" w:hAnsiTheme="minorHAnsi" w:cstheme="minorHAnsi"/>
                <w:sz w:val="22"/>
                <w:szCs w:val="22"/>
              </w:rPr>
              <w:t xml:space="preserve">Les coordonnées des </w:t>
            </w:r>
            <w:proofErr w:type="spellStart"/>
            <w:r w:rsidRPr="00FC36DF">
              <w:rPr>
                <w:rFonts w:asciiTheme="minorHAnsi" w:hAnsiTheme="minorHAnsi" w:cstheme="minorHAnsi"/>
                <w:sz w:val="22"/>
                <w:szCs w:val="22"/>
              </w:rPr>
              <w:t>co-titulaires</w:t>
            </w:r>
            <w:proofErr w:type="spellEnd"/>
            <w:r w:rsidRPr="00FC36DF">
              <w:rPr>
                <w:rFonts w:asciiTheme="minorHAnsi" w:hAnsiTheme="minorHAnsi" w:cstheme="minorHAnsi"/>
                <w:sz w:val="22"/>
                <w:szCs w:val="22"/>
              </w:rPr>
              <w:t>, mandataires si existants.</w:t>
            </w:r>
          </w:p>
        </w:tc>
        <w:tc>
          <w:tcPr>
            <w:tcW w:w="4508" w:type="dxa"/>
          </w:tcPr>
          <w:p w14:paraId="79A47843" w14:textId="7C9D932C" w:rsidR="00326DA4" w:rsidRPr="00FC36DF" w:rsidRDefault="00DC0BDD" w:rsidP="00FC36DF">
            <w:pPr>
              <w:pStyle w:val="Body"/>
              <w:numPr>
                <w:ilvl w:val="0"/>
                <w:numId w:val="8"/>
              </w:numPr>
              <w:spacing w:before="0" w:after="0"/>
              <w:rPr>
                <w:rFonts w:asciiTheme="minorHAnsi" w:hAnsiTheme="minorHAnsi" w:cstheme="minorHAnsi"/>
                <w:sz w:val="22"/>
                <w:szCs w:val="22"/>
                <w:lang w:val="nl-BE"/>
              </w:rPr>
            </w:pPr>
            <w:r w:rsidRPr="00FC36DF">
              <w:rPr>
                <w:rFonts w:asciiTheme="minorHAnsi" w:hAnsiTheme="minorHAnsi" w:cstheme="minorHAnsi"/>
                <w:sz w:val="22"/>
                <w:szCs w:val="22"/>
                <w:lang w:val="nl-BE"/>
              </w:rPr>
              <w:t>de contactgegevens van de mede</w:t>
            </w:r>
            <w:r w:rsidR="00AD32FE">
              <w:rPr>
                <w:rFonts w:asciiTheme="minorHAnsi" w:hAnsiTheme="minorHAnsi" w:cstheme="minorHAnsi"/>
                <w:sz w:val="22"/>
                <w:szCs w:val="22"/>
                <w:lang w:val="nl-BE"/>
              </w:rPr>
              <w:t>titularissen</w:t>
            </w:r>
            <w:r w:rsidRPr="00FC36DF">
              <w:rPr>
                <w:rFonts w:asciiTheme="minorHAnsi" w:hAnsiTheme="minorHAnsi" w:cstheme="minorHAnsi"/>
                <w:sz w:val="22"/>
                <w:szCs w:val="22"/>
                <w:lang w:val="nl-BE"/>
              </w:rPr>
              <w:t xml:space="preserve">, </w:t>
            </w:r>
            <w:proofErr w:type="spellStart"/>
            <w:r w:rsidRPr="00FC36DF">
              <w:rPr>
                <w:rFonts w:asciiTheme="minorHAnsi" w:hAnsiTheme="minorHAnsi" w:cstheme="minorHAnsi"/>
                <w:sz w:val="22"/>
                <w:szCs w:val="22"/>
                <w:lang w:val="nl-BE"/>
              </w:rPr>
              <w:t>volmachthouders</w:t>
            </w:r>
            <w:proofErr w:type="spellEnd"/>
            <w:r w:rsidRPr="00FC36DF">
              <w:rPr>
                <w:rFonts w:asciiTheme="minorHAnsi" w:hAnsiTheme="minorHAnsi" w:cstheme="minorHAnsi"/>
                <w:sz w:val="22"/>
                <w:szCs w:val="22"/>
                <w:lang w:val="nl-BE"/>
              </w:rPr>
              <w:t>, indien ze bestaan.</w:t>
            </w:r>
          </w:p>
        </w:tc>
      </w:tr>
      <w:tr w:rsidR="00326DA4" w:rsidRPr="00DC0BDD" w14:paraId="79BD1FDA" w14:textId="77777777" w:rsidTr="0025113D">
        <w:tc>
          <w:tcPr>
            <w:tcW w:w="4508" w:type="dxa"/>
          </w:tcPr>
          <w:p w14:paraId="52077F13" w14:textId="77777777" w:rsidR="00326DA4" w:rsidRPr="00FC36DF" w:rsidRDefault="00326DA4" w:rsidP="00FC36DF">
            <w:pPr>
              <w:jc w:val="both"/>
              <w:rPr>
                <w:rFonts w:asciiTheme="minorHAnsi" w:hAnsiTheme="minorHAnsi" w:cstheme="minorHAnsi"/>
                <w:sz w:val="22"/>
              </w:rPr>
            </w:pPr>
          </w:p>
        </w:tc>
        <w:tc>
          <w:tcPr>
            <w:tcW w:w="4508" w:type="dxa"/>
          </w:tcPr>
          <w:p w14:paraId="04A2EF25" w14:textId="77777777" w:rsidR="00326DA4" w:rsidRPr="00FC36DF" w:rsidRDefault="00326DA4" w:rsidP="00FC36DF">
            <w:pPr>
              <w:jc w:val="both"/>
              <w:rPr>
                <w:rFonts w:asciiTheme="minorHAnsi" w:hAnsiTheme="minorHAnsi" w:cstheme="minorHAnsi"/>
                <w:sz w:val="22"/>
              </w:rPr>
            </w:pPr>
          </w:p>
        </w:tc>
      </w:tr>
      <w:tr w:rsidR="00DC0BDD" w:rsidRPr="00DC0BDD" w14:paraId="1B0172E8" w14:textId="77777777" w:rsidTr="0025113D">
        <w:tc>
          <w:tcPr>
            <w:tcW w:w="4508" w:type="dxa"/>
          </w:tcPr>
          <w:p w14:paraId="677BDDFC" w14:textId="02CA4C49" w:rsidR="00DC0BDD" w:rsidRPr="00FC36DF" w:rsidRDefault="00DC0BDD" w:rsidP="00FC36DF">
            <w:pPr>
              <w:jc w:val="both"/>
              <w:rPr>
                <w:rFonts w:asciiTheme="minorHAnsi" w:hAnsiTheme="minorHAnsi" w:cstheme="minorHAnsi"/>
                <w:sz w:val="22"/>
                <w:lang w:val="fr-BE"/>
              </w:rPr>
            </w:pPr>
            <w:r w:rsidRPr="00FC36DF">
              <w:rPr>
                <w:rFonts w:asciiTheme="minorHAnsi" w:hAnsiTheme="minorHAnsi" w:cstheme="minorHAnsi"/>
                <w:sz w:val="22"/>
                <w:lang w:val="fr-BE"/>
              </w:rPr>
              <w:t xml:space="preserve">Il convient de rappeler que les démarches auprès des fournisseurs de services de paiement et de </w:t>
            </w:r>
            <w:proofErr w:type="spellStart"/>
            <w:r w:rsidRPr="00FC36DF">
              <w:rPr>
                <w:rFonts w:asciiTheme="minorHAnsi" w:hAnsiTheme="minorHAnsi" w:cstheme="minorHAnsi"/>
                <w:sz w:val="22"/>
                <w:lang w:val="fr-BE"/>
              </w:rPr>
              <w:t>Febelfin</w:t>
            </w:r>
            <w:proofErr w:type="spellEnd"/>
            <w:r w:rsidRPr="00FC36DF">
              <w:rPr>
                <w:rFonts w:asciiTheme="minorHAnsi" w:hAnsiTheme="minorHAnsi" w:cstheme="minorHAnsi"/>
                <w:sz w:val="22"/>
                <w:lang w:val="fr-BE"/>
              </w:rPr>
              <w:t xml:space="preserve"> visent à déterminer l’identité civile de l’abonné qui est une personne physique ou l’identité de l’abonné qui est une personne morale. </w:t>
            </w:r>
          </w:p>
        </w:tc>
        <w:tc>
          <w:tcPr>
            <w:tcW w:w="4508" w:type="dxa"/>
          </w:tcPr>
          <w:p w14:paraId="16000D0D" w14:textId="25DD4EFC" w:rsidR="00DC0BDD" w:rsidRPr="00FC36DF" w:rsidRDefault="00DC0BDD" w:rsidP="00FC36DF">
            <w:pPr>
              <w:jc w:val="both"/>
              <w:rPr>
                <w:rFonts w:asciiTheme="minorHAnsi" w:hAnsiTheme="minorHAnsi" w:cstheme="minorHAnsi"/>
                <w:sz w:val="22"/>
              </w:rPr>
            </w:pPr>
            <w:r w:rsidRPr="00FC36DF">
              <w:rPr>
                <w:rFonts w:asciiTheme="minorHAnsi" w:hAnsiTheme="minorHAnsi" w:cstheme="minorHAnsi"/>
                <w:sz w:val="22"/>
              </w:rPr>
              <w:t xml:space="preserve">Er dient eraan te worden herinnerd dat de stappen bij de aanbieders van betalingsdiensten en bij Febelfin erop gericht zijn de burgerlijke identiteit te bepalen van de abonnee die een natuurlijke persoon is of de identiteit van de abonnee die een rechtspersoon is. </w:t>
            </w:r>
          </w:p>
        </w:tc>
      </w:tr>
      <w:tr w:rsidR="00DC0BDD" w:rsidRPr="00DC0BDD" w14:paraId="16DF1AAA" w14:textId="77777777" w:rsidTr="0025113D">
        <w:tc>
          <w:tcPr>
            <w:tcW w:w="4508" w:type="dxa"/>
          </w:tcPr>
          <w:p w14:paraId="0937733A" w14:textId="77777777" w:rsidR="00DC0BDD" w:rsidRPr="003A24C7" w:rsidRDefault="00DC0BDD" w:rsidP="00FC36DF">
            <w:pPr>
              <w:jc w:val="both"/>
              <w:rPr>
                <w:rFonts w:asciiTheme="minorHAnsi" w:hAnsiTheme="minorHAnsi" w:cstheme="minorHAnsi"/>
                <w:sz w:val="22"/>
              </w:rPr>
            </w:pPr>
          </w:p>
        </w:tc>
        <w:tc>
          <w:tcPr>
            <w:tcW w:w="4508" w:type="dxa"/>
          </w:tcPr>
          <w:p w14:paraId="2F4C22C8" w14:textId="77777777" w:rsidR="00DC0BDD" w:rsidRPr="00FC36DF" w:rsidRDefault="00DC0BDD" w:rsidP="00FC36DF">
            <w:pPr>
              <w:jc w:val="both"/>
              <w:rPr>
                <w:rFonts w:asciiTheme="minorHAnsi" w:hAnsiTheme="minorHAnsi" w:cstheme="minorHAnsi"/>
                <w:sz w:val="22"/>
              </w:rPr>
            </w:pPr>
          </w:p>
        </w:tc>
      </w:tr>
      <w:tr w:rsidR="00DC0BDD" w:rsidRPr="00DC0BDD" w14:paraId="6843479C" w14:textId="77777777" w:rsidTr="0025113D">
        <w:tc>
          <w:tcPr>
            <w:tcW w:w="4508" w:type="dxa"/>
          </w:tcPr>
          <w:p w14:paraId="2E0354ED" w14:textId="362BD172" w:rsidR="00DC0BDD" w:rsidRPr="00FC36DF" w:rsidRDefault="00DC0BDD" w:rsidP="00FC36DF">
            <w:pPr>
              <w:jc w:val="both"/>
              <w:rPr>
                <w:rFonts w:asciiTheme="minorHAnsi" w:hAnsiTheme="minorHAnsi" w:cstheme="minorHAnsi"/>
                <w:sz w:val="22"/>
                <w:lang w:val="fr-BE"/>
              </w:rPr>
            </w:pPr>
            <w:r w:rsidRPr="00FC36DF">
              <w:rPr>
                <w:rFonts w:asciiTheme="minorHAnsi" w:hAnsiTheme="minorHAnsi" w:cstheme="minorHAnsi"/>
                <w:sz w:val="22"/>
                <w:lang w:val="fr-BE"/>
              </w:rPr>
              <w:t xml:space="preserve">Ces démarches sont limitées à une transaction bancaire spécifique, à savoir celle qui a permis d’acheter (ou de recharger) une carte prépayée ou l’abonnement. </w:t>
            </w:r>
          </w:p>
        </w:tc>
        <w:tc>
          <w:tcPr>
            <w:tcW w:w="4508" w:type="dxa"/>
          </w:tcPr>
          <w:p w14:paraId="50DDCE61" w14:textId="4A0EE039" w:rsidR="00DC0BDD" w:rsidRPr="00FC36DF" w:rsidRDefault="00DC0BDD" w:rsidP="00FC36DF">
            <w:pPr>
              <w:jc w:val="both"/>
              <w:rPr>
                <w:rFonts w:asciiTheme="minorHAnsi" w:hAnsiTheme="minorHAnsi" w:cstheme="minorHAnsi"/>
                <w:sz w:val="22"/>
              </w:rPr>
            </w:pPr>
            <w:r w:rsidRPr="00FC36DF">
              <w:rPr>
                <w:rFonts w:asciiTheme="minorHAnsi" w:hAnsiTheme="minorHAnsi" w:cstheme="minorHAnsi"/>
                <w:sz w:val="22"/>
              </w:rPr>
              <w:t xml:space="preserve">Deze stappen zijn beperkt tot een specifieke banktransactie, namelijk die waardoor het abonnement of een prepaid kaart kon worden aangekocht (of herladen in het tweede geval). </w:t>
            </w:r>
          </w:p>
        </w:tc>
      </w:tr>
      <w:tr w:rsidR="00DC0BDD" w:rsidRPr="00DC0BDD" w14:paraId="1CE536D9" w14:textId="77777777" w:rsidTr="0025113D">
        <w:tc>
          <w:tcPr>
            <w:tcW w:w="4508" w:type="dxa"/>
          </w:tcPr>
          <w:p w14:paraId="3306C1D3" w14:textId="77777777" w:rsidR="00DC0BDD" w:rsidRPr="003A24C7" w:rsidRDefault="00DC0BDD" w:rsidP="00FC36DF">
            <w:pPr>
              <w:jc w:val="both"/>
              <w:rPr>
                <w:rFonts w:asciiTheme="minorHAnsi" w:hAnsiTheme="minorHAnsi" w:cstheme="minorHAnsi"/>
                <w:sz w:val="22"/>
              </w:rPr>
            </w:pPr>
          </w:p>
        </w:tc>
        <w:tc>
          <w:tcPr>
            <w:tcW w:w="4508" w:type="dxa"/>
          </w:tcPr>
          <w:p w14:paraId="25468190" w14:textId="77777777" w:rsidR="00DC0BDD" w:rsidRPr="00FC36DF" w:rsidRDefault="00DC0BDD" w:rsidP="00FC36DF">
            <w:pPr>
              <w:jc w:val="both"/>
              <w:rPr>
                <w:rFonts w:asciiTheme="minorHAnsi" w:hAnsiTheme="minorHAnsi" w:cstheme="minorHAnsi"/>
                <w:sz w:val="22"/>
              </w:rPr>
            </w:pPr>
          </w:p>
        </w:tc>
      </w:tr>
      <w:tr w:rsidR="00DC0BDD" w:rsidRPr="00DC0BDD" w14:paraId="5F65C067" w14:textId="77777777" w:rsidTr="0025113D">
        <w:tc>
          <w:tcPr>
            <w:tcW w:w="4508" w:type="dxa"/>
          </w:tcPr>
          <w:p w14:paraId="781F2CD8" w14:textId="4602699C" w:rsidR="00DC0BDD" w:rsidRPr="00FC36DF" w:rsidRDefault="00DC0BDD" w:rsidP="00C81441">
            <w:pPr>
              <w:jc w:val="both"/>
              <w:rPr>
                <w:rFonts w:asciiTheme="minorHAnsi" w:hAnsiTheme="minorHAnsi" w:cstheme="minorHAnsi"/>
                <w:sz w:val="22"/>
                <w:lang w:val="fr-BE"/>
              </w:rPr>
            </w:pPr>
            <w:r w:rsidRPr="00FC36DF">
              <w:rPr>
                <w:rFonts w:asciiTheme="minorHAnsi" w:hAnsiTheme="minorHAnsi" w:cstheme="minorHAnsi"/>
                <w:sz w:val="22"/>
                <w:lang w:val="fr-BE"/>
              </w:rPr>
              <w:t xml:space="preserve">A l’aide de ces démarches, les OPJ recueillent des données d’identification, mais pas des métadonnées (données relatives au trafic ou des données de localisation). </w:t>
            </w:r>
          </w:p>
        </w:tc>
        <w:tc>
          <w:tcPr>
            <w:tcW w:w="4508" w:type="dxa"/>
          </w:tcPr>
          <w:p w14:paraId="5F08605D" w14:textId="659A7098" w:rsidR="00DC0BDD" w:rsidRPr="00FC36DF" w:rsidRDefault="00DC0BDD" w:rsidP="00C81441">
            <w:pPr>
              <w:jc w:val="both"/>
              <w:rPr>
                <w:rFonts w:asciiTheme="minorHAnsi" w:hAnsiTheme="minorHAnsi" w:cstheme="minorHAnsi"/>
                <w:sz w:val="22"/>
              </w:rPr>
            </w:pPr>
            <w:r w:rsidRPr="00FC36DF">
              <w:rPr>
                <w:rFonts w:asciiTheme="minorHAnsi" w:hAnsiTheme="minorHAnsi" w:cstheme="minorHAnsi"/>
                <w:sz w:val="22"/>
              </w:rPr>
              <w:t xml:space="preserve">Dankzij deze stappen verzamelen de </w:t>
            </w:r>
            <w:proofErr w:type="spellStart"/>
            <w:r w:rsidRPr="00FC36DF">
              <w:rPr>
                <w:rFonts w:asciiTheme="minorHAnsi" w:hAnsiTheme="minorHAnsi" w:cstheme="minorHAnsi"/>
                <w:sz w:val="22"/>
              </w:rPr>
              <w:t>OGP’s</w:t>
            </w:r>
            <w:proofErr w:type="spellEnd"/>
            <w:r w:rsidRPr="00FC36DF">
              <w:rPr>
                <w:rFonts w:asciiTheme="minorHAnsi" w:hAnsiTheme="minorHAnsi" w:cstheme="minorHAnsi"/>
                <w:sz w:val="22"/>
              </w:rPr>
              <w:t xml:space="preserve"> identificatiegegevens, maar geen metagegevens (verkeersgegevens of locatiegegevens). </w:t>
            </w:r>
          </w:p>
        </w:tc>
      </w:tr>
      <w:tr w:rsidR="00DC0BDD" w:rsidRPr="00DC0BDD" w14:paraId="592DC95D" w14:textId="77777777" w:rsidTr="0025113D">
        <w:tc>
          <w:tcPr>
            <w:tcW w:w="4508" w:type="dxa"/>
          </w:tcPr>
          <w:p w14:paraId="5D93097B" w14:textId="77777777" w:rsidR="00DC0BDD" w:rsidRPr="00FC36DF" w:rsidRDefault="00DC0BDD" w:rsidP="00FC36DF">
            <w:pPr>
              <w:jc w:val="both"/>
              <w:rPr>
                <w:rFonts w:asciiTheme="minorHAnsi" w:hAnsiTheme="minorHAnsi" w:cstheme="minorHAnsi"/>
                <w:sz w:val="22"/>
              </w:rPr>
            </w:pPr>
          </w:p>
        </w:tc>
        <w:tc>
          <w:tcPr>
            <w:tcW w:w="4508" w:type="dxa"/>
          </w:tcPr>
          <w:p w14:paraId="6CDF9A42" w14:textId="77777777" w:rsidR="00DC0BDD" w:rsidRPr="00FC36DF" w:rsidRDefault="00DC0BDD" w:rsidP="00FC36DF">
            <w:pPr>
              <w:jc w:val="both"/>
              <w:rPr>
                <w:rFonts w:asciiTheme="minorHAnsi" w:hAnsiTheme="minorHAnsi" w:cstheme="minorHAnsi"/>
                <w:sz w:val="22"/>
              </w:rPr>
            </w:pPr>
          </w:p>
        </w:tc>
      </w:tr>
      <w:tr w:rsidR="00DC0BDD" w:rsidRPr="00DC0BDD" w14:paraId="5F56C7D3" w14:textId="77777777" w:rsidTr="0025113D">
        <w:tc>
          <w:tcPr>
            <w:tcW w:w="4508" w:type="dxa"/>
          </w:tcPr>
          <w:p w14:paraId="4C92EA7F" w14:textId="3FF2B9E2" w:rsidR="00DC0BDD" w:rsidRPr="009A1FA3" w:rsidRDefault="00DC0BDD" w:rsidP="009A1FA3">
            <w:pPr>
              <w:jc w:val="both"/>
              <w:rPr>
                <w:rFonts w:ascii="Calibri" w:hAnsi="Calibri" w:cs="Calibri"/>
                <w:sz w:val="22"/>
                <w:lang w:val="fr-BE"/>
              </w:rPr>
            </w:pPr>
            <w:r w:rsidRPr="009A1FA3">
              <w:rPr>
                <w:rFonts w:ascii="Calibri" w:hAnsi="Calibri" w:cs="Calibri"/>
                <w:b/>
                <w:sz w:val="22"/>
                <w:u w:val="single"/>
                <w:lang w:val="fr-BE"/>
              </w:rPr>
              <w:t xml:space="preserve">Paragraphe 2 : la demande de métadonnées </w:t>
            </w:r>
          </w:p>
        </w:tc>
        <w:tc>
          <w:tcPr>
            <w:tcW w:w="4508" w:type="dxa"/>
          </w:tcPr>
          <w:p w14:paraId="3B3AF1B0" w14:textId="5DD1EA2B" w:rsidR="00DC0BDD" w:rsidRPr="009A1FA3" w:rsidRDefault="00DC0BDD" w:rsidP="009A1FA3">
            <w:pPr>
              <w:jc w:val="both"/>
              <w:rPr>
                <w:rFonts w:ascii="Calibri" w:hAnsi="Calibri" w:cs="Calibri"/>
                <w:sz w:val="22"/>
              </w:rPr>
            </w:pPr>
            <w:r w:rsidRPr="009A1FA3">
              <w:rPr>
                <w:rFonts w:ascii="Calibri" w:hAnsi="Calibri" w:cs="Calibri"/>
                <w:b/>
                <w:sz w:val="22"/>
                <w:u w:val="single"/>
              </w:rPr>
              <w:t>Paragraaf 2: het verzoek om metagegevens</w:t>
            </w:r>
          </w:p>
        </w:tc>
      </w:tr>
      <w:tr w:rsidR="00DC0BDD" w:rsidRPr="00DC0BDD" w14:paraId="565BF853" w14:textId="77777777" w:rsidTr="0025113D">
        <w:tc>
          <w:tcPr>
            <w:tcW w:w="4508" w:type="dxa"/>
          </w:tcPr>
          <w:p w14:paraId="1F3CD028" w14:textId="77777777" w:rsidR="00DC0BDD" w:rsidRPr="009A1FA3" w:rsidRDefault="00DC0BDD" w:rsidP="009A1FA3">
            <w:pPr>
              <w:jc w:val="both"/>
              <w:rPr>
                <w:rFonts w:ascii="Calibri" w:hAnsi="Calibri" w:cs="Calibri"/>
                <w:sz w:val="22"/>
              </w:rPr>
            </w:pPr>
          </w:p>
        </w:tc>
        <w:tc>
          <w:tcPr>
            <w:tcW w:w="4508" w:type="dxa"/>
          </w:tcPr>
          <w:p w14:paraId="7B0A5496" w14:textId="77777777" w:rsidR="00DC0BDD" w:rsidRPr="009A1FA3" w:rsidRDefault="00DC0BDD" w:rsidP="009A1FA3">
            <w:pPr>
              <w:jc w:val="both"/>
              <w:rPr>
                <w:rFonts w:ascii="Calibri" w:hAnsi="Calibri" w:cs="Calibri"/>
                <w:sz w:val="22"/>
              </w:rPr>
            </w:pPr>
          </w:p>
        </w:tc>
      </w:tr>
      <w:tr w:rsidR="00DC0BDD" w:rsidRPr="00DC0BDD" w14:paraId="6DE0779F" w14:textId="77777777" w:rsidTr="0025113D">
        <w:tc>
          <w:tcPr>
            <w:tcW w:w="4508" w:type="dxa"/>
          </w:tcPr>
          <w:p w14:paraId="21526F7B" w14:textId="2779A048" w:rsidR="00DC0BDD" w:rsidRPr="009A1FA3" w:rsidRDefault="00DC0BDD" w:rsidP="009A1FA3">
            <w:pPr>
              <w:jc w:val="both"/>
              <w:rPr>
                <w:rFonts w:ascii="Calibri" w:hAnsi="Calibri" w:cs="Calibri"/>
                <w:sz w:val="22"/>
                <w:lang w:val="fr-BE"/>
              </w:rPr>
            </w:pPr>
            <w:r w:rsidRPr="009A1FA3">
              <w:rPr>
                <w:rFonts w:ascii="Calibri" w:hAnsi="Calibri" w:cs="Calibri"/>
                <w:sz w:val="22"/>
                <w:lang w:val="fr-BE" w:eastAsia="nl-BE"/>
              </w:rPr>
              <w:t xml:space="preserve">Lorsque, pour les besoins de l’accomplissement de sa mission, un OPJ de l’IBPT demande communication d’autres métadonnées, il soumet sa demande motivée au préalable à l’autorisation du juge d’instruction, sauf cas d’urgence dûment justifié.   </w:t>
            </w:r>
          </w:p>
        </w:tc>
        <w:tc>
          <w:tcPr>
            <w:tcW w:w="4508" w:type="dxa"/>
          </w:tcPr>
          <w:p w14:paraId="728B87AA" w14:textId="0006B3E4" w:rsidR="00DC0BDD" w:rsidRPr="009A1FA3" w:rsidRDefault="00DC0BDD" w:rsidP="009A1FA3">
            <w:pPr>
              <w:jc w:val="both"/>
              <w:rPr>
                <w:rFonts w:ascii="Calibri" w:hAnsi="Calibri" w:cs="Calibri"/>
                <w:sz w:val="22"/>
              </w:rPr>
            </w:pPr>
            <w:r w:rsidRPr="009A1FA3">
              <w:rPr>
                <w:rFonts w:ascii="Calibri" w:hAnsi="Calibri" w:cs="Calibri"/>
                <w:sz w:val="22"/>
              </w:rPr>
              <w:t>Wanneer een OGP van het BIPT, ten behoeve van de vervulling van zijn opdracht, toegang vraagt tot  andere metagegevens, legt hij zijn gemotiveerde verzoek op voorhand voor machtiging voor aan de onderzoeksrechter, behalve in een naar behoren gerechtvaardigd noodgeval.</w:t>
            </w:r>
          </w:p>
        </w:tc>
      </w:tr>
      <w:tr w:rsidR="00DC0BDD" w:rsidRPr="00DC0BDD" w14:paraId="76F52537" w14:textId="77777777" w:rsidTr="0025113D">
        <w:tc>
          <w:tcPr>
            <w:tcW w:w="4508" w:type="dxa"/>
          </w:tcPr>
          <w:p w14:paraId="6A10A32A" w14:textId="77777777" w:rsidR="00DC0BDD" w:rsidRPr="003A24C7" w:rsidRDefault="00DC0BDD" w:rsidP="009A1FA3">
            <w:pPr>
              <w:jc w:val="both"/>
              <w:rPr>
                <w:rFonts w:ascii="Calibri" w:hAnsi="Calibri" w:cs="Calibri"/>
                <w:sz w:val="22"/>
                <w:lang w:eastAsia="nl-BE"/>
              </w:rPr>
            </w:pPr>
          </w:p>
        </w:tc>
        <w:tc>
          <w:tcPr>
            <w:tcW w:w="4508" w:type="dxa"/>
          </w:tcPr>
          <w:p w14:paraId="1B5069BD" w14:textId="77777777" w:rsidR="00DC0BDD" w:rsidRPr="009A1FA3" w:rsidRDefault="00DC0BDD" w:rsidP="009A1FA3">
            <w:pPr>
              <w:jc w:val="both"/>
              <w:rPr>
                <w:rFonts w:ascii="Calibri" w:hAnsi="Calibri" w:cs="Calibri"/>
                <w:sz w:val="22"/>
              </w:rPr>
            </w:pPr>
          </w:p>
        </w:tc>
      </w:tr>
      <w:tr w:rsidR="00DC0BDD" w:rsidRPr="00DC0BDD" w14:paraId="256B8A13" w14:textId="77777777" w:rsidTr="0025113D">
        <w:tc>
          <w:tcPr>
            <w:tcW w:w="4508" w:type="dxa"/>
          </w:tcPr>
          <w:p w14:paraId="5759FA22" w14:textId="1C2FDB1E" w:rsidR="00DC0BDD" w:rsidRPr="009A1FA3" w:rsidRDefault="00DC0BDD" w:rsidP="009A1FA3">
            <w:pPr>
              <w:jc w:val="both"/>
              <w:rPr>
                <w:rFonts w:ascii="Calibri" w:hAnsi="Calibri" w:cs="Calibri"/>
                <w:sz w:val="22"/>
                <w:lang w:val="fr-BE"/>
              </w:rPr>
            </w:pPr>
            <w:r w:rsidRPr="009A1FA3">
              <w:rPr>
                <w:rFonts w:ascii="Calibri" w:hAnsi="Calibri" w:cs="Calibri"/>
                <w:sz w:val="22"/>
                <w:lang w:val="fr-BE"/>
              </w:rPr>
              <w:t>Dans les cas d’urgence dûment justifiés où le contrôle préalable du juge d’instruction n’aura pas été possible, un contrôle ultérieur est effectué par le juge d’instruction.</w:t>
            </w:r>
          </w:p>
        </w:tc>
        <w:tc>
          <w:tcPr>
            <w:tcW w:w="4508" w:type="dxa"/>
          </w:tcPr>
          <w:p w14:paraId="31DDCF6E" w14:textId="72F5C498" w:rsidR="00DC0BDD" w:rsidRPr="009A1FA3" w:rsidRDefault="00DC0BDD" w:rsidP="009A1FA3">
            <w:pPr>
              <w:jc w:val="both"/>
              <w:rPr>
                <w:rFonts w:ascii="Calibri" w:hAnsi="Calibri" w:cs="Calibri"/>
                <w:sz w:val="22"/>
              </w:rPr>
            </w:pPr>
            <w:r w:rsidRPr="009A1FA3">
              <w:rPr>
                <w:rFonts w:ascii="Calibri" w:hAnsi="Calibri" w:cs="Calibri"/>
                <w:sz w:val="22"/>
              </w:rPr>
              <w:t>In de naar behoren gerechtvaardigde noodgevallen waarin de voorafgaande controle door de onderzoeksrechter niet mogelijk was, voert de onderzoeksrechter daarna een controle uit.</w:t>
            </w:r>
          </w:p>
        </w:tc>
      </w:tr>
      <w:tr w:rsidR="00DC0BDD" w:rsidRPr="00DC0BDD" w14:paraId="292F630E" w14:textId="77777777" w:rsidTr="0025113D">
        <w:tc>
          <w:tcPr>
            <w:tcW w:w="4508" w:type="dxa"/>
          </w:tcPr>
          <w:p w14:paraId="299CCFF3" w14:textId="77777777" w:rsidR="00DC0BDD" w:rsidRPr="00DC0BDD" w:rsidRDefault="00DC0BDD" w:rsidP="00DC0BDD">
            <w:pPr>
              <w:jc w:val="both"/>
              <w:rPr>
                <w:rFonts w:asciiTheme="minorHAnsi" w:hAnsiTheme="minorHAnsi" w:cstheme="minorHAnsi"/>
                <w:sz w:val="22"/>
              </w:rPr>
            </w:pPr>
          </w:p>
        </w:tc>
        <w:tc>
          <w:tcPr>
            <w:tcW w:w="4508" w:type="dxa"/>
          </w:tcPr>
          <w:p w14:paraId="7FE256F8" w14:textId="77777777" w:rsidR="00DC0BDD" w:rsidRPr="00DC0BDD" w:rsidRDefault="00DC0BDD" w:rsidP="00DC0BDD">
            <w:pPr>
              <w:jc w:val="both"/>
              <w:rPr>
                <w:rFonts w:asciiTheme="minorHAnsi" w:hAnsiTheme="minorHAnsi" w:cstheme="minorHAnsi"/>
                <w:sz w:val="22"/>
              </w:rPr>
            </w:pPr>
          </w:p>
        </w:tc>
      </w:tr>
      <w:tr w:rsidR="00DC0BDD" w:rsidRPr="00DC0BDD" w14:paraId="3929DF48" w14:textId="77777777" w:rsidTr="0025113D">
        <w:tc>
          <w:tcPr>
            <w:tcW w:w="4508" w:type="dxa"/>
          </w:tcPr>
          <w:p w14:paraId="3BA220C8" w14:textId="0F6DC022" w:rsidR="00DC0BDD" w:rsidRPr="009A1FA3" w:rsidRDefault="00DC0BDD" w:rsidP="009A1FA3">
            <w:pPr>
              <w:jc w:val="both"/>
              <w:rPr>
                <w:rFonts w:ascii="Calibri" w:hAnsi="Calibri" w:cs="Calibri"/>
                <w:sz w:val="22"/>
                <w:lang w:val="fr-BE"/>
              </w:rPr>
            </w:pPr>
            <w:r w:rsidRPr="009A1FA3">
              <w:rPr>
                <w:rFonts w:ascii="Calibri" w:hAnsi="Calibri" w:cs="Calibri"/>
                <w:b/>
                <w:sz w:val="22"/>
                <w:u w:val="single"/>
                <w:lang w:val="fr-BE"/>
              </w:rPr>
              <w:t>Paragraphe 3</w:t>
            </w:r>
            <w:r w:rsidRPr="009A1FA3">
              <w:rPr>
                <w:rFonts w:ascii="Calibri" w:hAnsi="Calibri" w:cs="Calibri"/>
                <w:b/>
                <w:bCs/>
                <w:sz w:val="22"/>
                <w:u w:val="single"/>
                <w:lang w:val="fr-BE"/>
              </w:rPr>
              <w:t> : le</w:t>
            </w:r>
            <w:r w:rsidRPr="009A1FA3">
              <w:rPr>
                <w:rFonts w:ascii="Calibri" w:hAnsi="Calibri" w:cs="Calibri"/>
                <w:b/>
                <w:sz w:val="22"/>
                <w:u w:val="single"/>
                <w:lang w:val="fr-BE"/>
              </w:rPr>
              <w:t xml:space="preserve"> contrôle des obligations à charge de l’opérateur</w:t>
            </w:r>
          </w:p>
        </w:tc>
        <w:tc>
          <w:tcPr>
            <w:tcW w:w="4508" w:type="dxa"/>
          </w:tcPr>
          <w:p w14:paraId="55D0751E" w14:textId="0070A382" w:rsidR="00DC0BDD" w:rsidRPr="009A1FA3" w:rsidRDefault="00DC0BDD" w:rsidP="009A1FA3">
            <w:pPr>
              <w:jc w:val="both"/>
              <w:rPr>
                <w:rFonts w:ascii="Calibri" w:hAnsi="Calibri" w:cs="Calibri"/>
                <w:sz w:val="22"/>
              </w:rPr>
            </w:pPr>
            <w:r w:rsidRPr="009A1FA3">
              <w:rPr>
                <w:rFonts w:ascii="Calibri" w:hAnsi="Calibri" w:cs="Calibri"/>
                <w:b/>
                <w:sz w:val="22"/>
                <w:u w:val="single"/>
              </w:rPr>
              <w:t>Paragraaf 3: de controle van de verplichtingen die op de operator rusten</w:t>
            </w:r>
          </w:p>
        </w:tc>
      </w:tr>
      <w:tr w:rsidR="00DC0BDD" w:rsidRPr="00DC0BDD" w14:paraId="6CF0534B" w14:textId="77777777" w:rsidTr="0025113D">
        <w:tc>
          <w:tcPr>
            <w:tcW w:w="4508" w:type="dxa"/>
          </w:tcPr>
          <w:p w14:paraId="1667AFC4" w14:textId="77777777" w:rsidR="00DC0BDD" w:rsidRPr="009A1FA3" w:rsidRDefault="00DC0BDD" w:rsidP="009A1FA3">
            <w:pPr>
              <w:jc w:val="both"/>
              <w:rPr>
                <w:rFonts w:ascii="Calibri" w:hAnsi="Calibri" w:cs="Calibri"/>
                <w:sz w:val="22"/>
              </w:rPr>
            </w:pPr>
          </w:p>
        </w:tc>
        <w:tc>
          <w:tcPr>
            <w:tcW w:w="4508" w:type="dxa"/>
          </w:tcPr>
          <w:p w14:paraId="22CEA72E" w14:textId="77777777" w:rsidR="00DC0BDD" w:rsidRPr="009A1FA3" w:rsidRDefault="00DC0BDD" w:rsidP="009A1FA3">
            <w:pPr>
              <w:jc w:val="both"/>
              <w:rPr>
                <w:rFonts w:ascii="Calibri" w:hAnsi="Calibri" w:cs="Calibri"/>
                <w:sz w:val="22"/>
              </w:rPr>
            </w:pPr>
          </w:p>
        </w:tc>
      </w:tr>
      <w:tr w:rsidR="00DC0BDD" w:rsidRPr="00DC0BDD" w14:paraId="11064702" w14:textId="77777777" w:rsidTr="0025113D">
        <w:tc>
          <w:tcPr>
            <w:tcW w:w="4508" w:type="dxa"/>
          </w:tcPr>
          <w:p w14:paraId="33161AEB" w14:textId="77777777" w:rsidR="00DC0BDD" w:rsidRPr="009A1FA3" w:rsidRDefault="00DC0BDD" w:rsidP="009A1FA3">
            <w:pPr>
              <w:jc w:val="both"/>
              <w:rPr>
                <w:rFonts w:ascii="Calibri" w:hAnsi="Calibri" w:cs="Calibri"/>
                <w:sz w:val="22"/>
                <w:lang w:val="fr-BE"/>
              </w:rPr>
            </w:pPr>
            <w:r w:rsidRPr="009A1FA3">
              <w:rPr>
                <w:rFonts w:ascii="Calibri" w:hAnsi="Calibri" w:cs="Calibri"/>
                <w:sz w:val="22"/>
                <w:lang w:val="fr-BE"/>
              </w:rPr>
              <w:t xml:space="preserve">Pour pouvoir faire un contrôle efficace de l’obligation d’un opérateur de conserver les données et copies de document d’identification prévues aux articles 126, 126/1, 126/2 et 127, de la loi télécom ainsi que de son obligation d’effacer les données ou de les rendre anonymes à l’issue de la période de conservation, il est indispensable que les officiers de police judiciaire de l’IBPT puissent consulter les bases de données de l’opérateur contrôlé, qui comprend lesdites données et copies de documents. </w:t>
            </w:r>
          </w:p>
          <w:p w14:paraId="5AB85E4E" w14:textId="77777777" w:rsidR="00DC0BDD" w:rsidRPr="009A1FA3" w:rsidRDefault="00DC0BDD" w:rsidP="009A1FA3">
            <w:pPr>
              <w:jc w:val="both"/>
              <w:rPr>
                <w:rFonts w:ascii="Calibri" w:hAnsi="Calibri" w:cs="Calibri"/>
                <w:sz w:val="22"/>
                <w:lang w:val="fr-BE"/>
              </w:rPr>
            </w:pPr>
          </w:p>
        </w:tc>
        <w:tc>
          <w:tcPr>
            <w:tcW w:w="4508" w:type="dxa"/>
          </w:tcPr>
          <w:p w14:paraId="6E06AC20" w14:textId="1822AB6B" w:rsidR="00DC0BDD" w:rsidRPr="009A1FA3" w:rsidRDefault="00DC0BDD" w:rsidP="00800E7F">
            <w:pPr>
              <w:jc w:val="both"/>
              <w:rPr>
                <w:rFonts w:ascii="Calibri" w:hAnsi="Calibri" w:cs="Calibri"/>
                <w:sz w:val="22"/>
              </w:rPr>
            </w:pPr>
            <w:r w:rsidRPr="009A1FA3">
              <w:rPr>
                <w:rFonts w:ascii="Calibri" w:hAnsi="Calibri" w:cs="Calibri"/>
                <w:sz w:val="22"/>
              </w:rPr>
              <w:t xml:space="preserve">Om de verplichting van een operator om de in de artikelen 126, 126/1, 126/2 en 127 van de telecomwet bepaalde identificatiegegevens en de </w:t>
            </w:r>
            <w:proofErr w:type="spellStart"/>
            <w:r w:rsidRPr="009A1FA3">
              <w:rPr>
                <w:rFonts w:ascii="Calibri" w:hAnsi="Calibri" w:cs="Calibri"/>
                <w:sz w:val="22"/>
              </w:rPr>
              <w:t>kopies</w:t>
            </w:r>
            <w:proofErr w:type="spellEnd"/>
            <w:r w:rsidRPr="009A1FA3">
              <w:rPr>
                <w:rFonts w:ascii="Calibri" w:hAnsi="Calibri" w:cs="Calibri"/>
                <w:sz w:val="22"/>
              </w:rPr>
              <w:t xml:space="preserve"> van identificatiedocumenten te bewaren,  efficiënt te kunnen controleren, alsook zijn verplichting om de gegevens te wissen of ze </w:t>
            </w:r>
            <w:r w:rsidRPr="00AD32FE">
              <w:rPr>
                <w:rFonts w:ascii="Calibri" w:hAnsi="Calibri" w:cs="Calibri"/>
                <w:sz w:val="22"/>
              </w:rPr>
              <w:t>anoniem te maken na afloop van de bewaringstermijn, is het absoluut noodzakelijk dat de officier</w:t>
            </w:r>
            <w:r w:rsidR="00800E7F" w:rsidRPr="00AD32FE">
              <w:rPr>
                <w:rFonts w:ascii="Calibri" w:hAnsi="Calibri" w:cs="Calibri"/>
                <w:sz w:val="22"/>
              </w:rPr>
              <w:t>en</w:t>
            </w:r>
            <w:r w:rsidRPr="00AD32FE">
              <w:rPr>
                <w:rFonts w:ascii="Calibri" w:hAnsi="Calibri" w:cs="Calibri"/>
                <w:sz w:val="22"/>
              </w:rPr>
              <w:t xml:space="preserve"> van</w:t>
            </w:r>
            <w:r w:rsidRPr="009A1FA3">
              <w:rPr>
                <w:rFonts w:ascii="Calibri" w:hAnsi="Calibri" w:cs="Calibri"/>
                <w:sz w:val="22"/>
              </w:rPr>
              <w:t xml:space="preserve"> gerechtelijke politie van het BIPT de databanken van de gecontroleerde operator waarin deze gegevens en documentafschriften opgenomen zijn, kunnen raadplegen. </w:t>
            </w:r>
          </w:p>
        </w:tc>
      </w:tr>
      <w:tr w:rsidR="00DC0BDD" w:rsidRPr="00DC0BDD" w14:paraId="63ED53CC" w14:textId="77777777" w:rsidTr="0025113D">
        <w:tc>
          <w:tcPr>
            <w:tcW w:w="4508" w:type="dxa"/>
          </w:tcPr>
          <w:p w14:paraId="1A639028" w14:textId="77777777" w:rsidR="00DC0BDD" w:rsidRPr="003A24C7" w:rsidRDefault="00DC0BDD" w:rsidP="009A1FA3">
            <w:pPr>
              <w:jc w:val="both"/>
              <w:rPr>
                <w:rFonts w:ascii="Calibri" w:hAnsi="Calibri" w:cs="Calibri"/>
                <w:sz w:val="22"/>
              </w:rPr>
            </w:pPr>
          </w:p>
        </w:tc>
        <w:tc>
          <w:tcPr>
            <w:tcW w:w="4508" w:type="dxa"/>
          </w:tcPr>
          <w:p w14:paraId="789E1735" w14:textId="77777777" w:rsidR="00DC0BDD" w:rsidRPr="009A1FA3" w:rsidRDefault="00DC0BDD" w:rsidP="009A1FA3">
            <w:pPr>
              <w:jc w:val="both"/>
              <w:rPr>
                <w:rFonts w:ascii="Calibri" w:hAnsi="Calibri" w:cs="Calibri"/>
                <w:sz w:val="22"/>
              </w:rPr>
            </w:pPr>
          </w:p>
        </w:tc>
      </w:tr>
      <w:tr w:rsidR="00DC0BDD" w:rsidRPr="00DC0BDD" w14:paraId="12DED083" w14:textId="77777777" w:rsidTr="0025113D">
        <w:tc>
          <w:tcPr>
            <w:tcW w:w="4508" w:type="dxa"/>
          </w:tcPr>
          <w:p w14:paraId="72529824" w14:textId="77777777" w:rsidR="00DC0BDD" w:rsidRPr="009A1FA3" w:rsidRDefault="00DC0BDD" w:rsidP="009A1FA3">
            <w:pPr>
              <w:jc w:val="both"/>
              <w:rPr>
                <w:rFonts w:ascii="Calibri" w:hAnsi="Calibri" w:cs="Calibri"/>
                <w:sz w:val="22"/>
                <w:lang w:val="fr-BE"/>
              </w:rPr>
            </w:pPr>
            <w:r w:rsidRPr="009A1FA3">
              <w:rPr>
                <w:rFonts w:ascii="Calibri" w:hAnsi="Calibri" w:cs="Calibri"/>
                <w:sz w:val="22"/>
                <w:lang w:val="fr-BE"/>
              </w:rPr>
              <w:t xml:space="preserve">La disposition insérée confirme le pouvoir de ces officiers d’exiger cet accès. En pratique, ils contrôlent des échantillons représentatifs d’une base de données. </w:t>
            </w:r>
          </w:p>
          <w:p w14:paraId="38DEC31C" w14:textId="77777777" w:rsidR="00DC0BDD" w:rsidRPr="009A1FA3" w:rsidRDefault="00DC0BDD" w:rsidP="009A1FA3">
            <w:pPr>
              <w:jc w:val="both"/>
              <w:rPr>
                <w:rFonts w:ascii="Calibri" w:hAnsi="Calibri" w:cs="Calibri"/>
                <w:sz w:val="22"/>
                <w:lang w:val="fr-BE"/>
              </w:rPr>
            </w:pPr>
          </w:p>
        </w:tc>
        <w:tc>
          <w:tcPr>
            <w:tcW w:w="4508" w:type="dxa"/>
          </w:tcPr>
          <w:p w14:paraId="54EFE987" w14:textId="5480744D" w:rsidR="00DC0BDD" w:rsidRPr="009A1FA3" w:rsidRDefault="00DC0BDD" w:rsidP="009A1FA3">
            <w:pPr>
              <w:jc w:val="both"/>
              <w:rPr>
                <w:rFonts w:ascii="Calibri" w:hAnsi="Calibri" w:cs="Calibri"/>
                <w:sz w:val="22"/>
              </w:rPr>
            </w:pPr>
            <w:r w:rsidRPr="009A1FA3">
              <w:rPr>
                <w:rFonts w:ascii="Calibri" w:hAnsi="Calibri" w:cs="Calibri"/>
                <w:sz w:val="22"/>
              </w:rPr>
              <w:t xml:space="preserve">De ingevoegde bepaling bevestigt de bevoegdheid van deze </w:t>
            </w:r>
            <w:r w:rsidR="00AD32FE">
              <w:rPr>
                <w:rFonts w:ascii="Calibri" w:hAnsi="Calibri" w:cs="Calibri"/>
                <w:sz w:val="22"/>
              </w:rPr>
              <w:t>officieren</w:t>
            </w:r>
            <w:r w:rsidRPr="009A1FA3">
              <w:rPr>
                <w:rFonts w:ascii="Calibri" w:hAnsi="Calibri" w:cs="Calibri"/>
                <w:sz w:val="22"/>
              </w:rPr>
              <w:t xml:space="preserve"> om die toegang te eisen. In de praktijk controleren zij representatieve steekproeven van een databank. </w:t>
            </w:r>
          </w:p>
        </w:tc>
      </w:tr>
      <w:tr w:rsidR="00DC0BDD" w:rsidRPr="00DC0BDD" w14:paraId="0E7E1D86" w14:textId="77777777" w:rsidTr="0025113D">
        <w:tc>
          <w:tcPr>
            <w:tcW w:w="4508" w:type="dxa"/>
          </w:tcPr>
          <w:p w14:paraId="5F773FA5" w14:textId="77777777" w:rsidR="00DC0BDD" w:rsidRPr="003A24C7" w:rsidRDefault="00DC0BDD" w:rsidP="009A1FA3">
            <w:pPr>
              <w:jc w:val="both"/>
              <w:rPr>
                <w:rFonts w:ascii="Calibri" w:hAnsi="Calibri" w:cs="Calibri"/>
                <w:sz w:val="22"/>
              </w:rPr>
            </w:pPr>
          </w:p>
        </w:tc>
        <w:tc>
          <w:tcPr>
            <w:tcW w:w="4508" w:type="dxa"/>
          </w:tcPr>
          <w:p w14:paraId="7CD18F94" w14:textId="77777777" w:rsidR="00DC0BDD" w:rsidRPr="009A1FA3" w:rsidRDefault="00DC0BDD" w:rsidP="009A1FA3">
            <w:pPr>
              <w:jc w:val="both"/>
              <w:rPr>
                <w:rFonts w:ascii="Calibri" w:hAnsi="Calibri" w:cs="Calibri"/>
                <w:sz w:val="22"/>
              </w:rPr>
            </w:pPr>
          </w:p>
        </w:tc>
      </w:tr>
      <w:tr w:rsidR="009A1FA3" w:rsidRPr="00DC0BDD" w14:paraId="670C0A3F" w14:textId="77777777" w:rsidTr="0025113D">
        <w:tc>
          <w:tcPr>
            <w:tcW w:w="4508" w:type="dxa"/>
          </w:tcPr>
          <w:p w14:paraId="08F1FDB8" w14:textId="6181560E" w:rsidR="009A1FA3" w:rsidRPr="009A1FA3" w:rsidRDefault="009A1FA3" w:rsidP="009A1FA3">
            <w:pPr>
              <w:jc w:val="both"/>
              <w:rPr>
                <w:rFonts w:ascii="Calibri" w:hAnsi="Calibri" w:cs="Calibri"/>
                <w:sz w:val="22"/>
                <w:lang w:val="fr-BE"/>
              </w:rPr>
            </w:pPr>
            <w:r w:rsidRPr="003A24C7">
              <w:rPr>
                <w:rFonts w:ascii="Calibri" w:hAnsi="Calibri" w:cs="Calibri"/>
                <w:sz w:val="22"/>
                <w:lang w:val="fr-BE"/>
              </w:rPr>
              <w:t>Etant donné que cet accès permet de consulter un grand nombre de données à caractère personnel des abonnés de l’opérateur, la consultation de la base de données par ces officiers de police judiciaire doit dorénavant être précédée d’une autorisation par un OPJ de l’IBPT désigné par le Roi pour effectuer ce contrôle.</w:t>
            </w:r>
          </w:p>
        </w:tc>
        <w:tc>
          <w:tcPr>
            <w:tcW w:w="4508" w:type="dxa"/>
          </w:tcPr>
          <w:p w14:paraId="469F444D" w14:textId="3DCE78CD" w:rsidR="009A1FA3" w:rsidRPr="009A1FA3" w:rsidRDefault="009A1FA3" w:rsidP="009A1FA3">
            <w:pPr>
              <w:jc w:val="both"/>
              <w:rPr>
                <w:rFonts w:ascii="Calibri" w:hAnsi="Calibri" w:cs="Calibri"/>
                <w:sz w:val="22"/>
              </w:rPr>
            </w:pPr>
            <w:r w:rsidRPr="009A1FA3">
              <w:rPr>
                <w:rFonts w:ascii="Calibri" w:hAnsi="Calibri" w:cs="Calibri"/>
                <w:sz w:val="22"/>
              </w:rPr>
              <w:t xml:space="preserve">Aangezien deze toegang het mogelijk maakt om een groot aantal persoonsgegevens van de abonnees van de operator te raadplegen, moet de raadpleging van de databank door deze </w:t>
            </w:r>
            <w:r w:rsidR="00AD32FE">
              <w:rPr>
                <w:rFonts w:ascii="Calibri" w:hAnsi="Calibri" w:cs="Calibri"/>
                <w:sz w:val="22"/>
              </w:rPr>
              <w:t>officieren</w:t>
            </w:r>
            <w:r w:rsidRPr="009A1FA3">
              <w:rPr>
                <w:rFonts w:ascii="Calibri" w:hAnsi="Calibri" w:cs="Calibri"/>
                <w:sz w:val="22"/>
              </w:rPr>
              <w:t xml:space="preserve"> van gerechtelijke politie voortaan worden voorafgegaan door een toestemming vanwege een OGP van het BIPT, die door de Koning aangewezen is om die controle te verrichten.</w:t>
            </w:r>
          </w:p>
        </w:tc>
      </w:tr>
      <w:tr w:rsidR="009A1FA3" w:rsidRPr="00DC0BDD" w14:paraId="4D2A4C24" w14:textId="77777777" w:rsidTr="0025113D">
        <w:tc>
          <w:tcPr>
            <w:tcW w:w="4508" w:type="dxa"/>
          </w:tcPr>
          <w:p w14:paraId="4B5DA102" w14:textId="77777777" w:rsidR="009A1FA3" w:rsidRPr="003A24C7" w:rsidRDefault="009A1FA3" w:rsidP="009A1FA3">
            <w:pPr>
              <w:jc w:val="both"/>
              <w:rPr>
                <w:rFonts w:ascii="Calibri" w:hAnsi="Calibri" w:cs="Calibri"/>
                <w:sz w:val="22"/>
              </w:rPr>
            </w:pPr>
          </w:p>
        </w:tc>
        <w:tc>
          <w:tcPr>
            <w:tcW w:w="4508" w:type="dxa"/>
          </w:tcPr>
          <w:p w14:paraId="61F69E78" w14:textId="77777777" w:rsidR="009A1FA3" w:rsidRPr="009A1FA3" w:rsidRDefault="009A1FA3" w:rsidP="009A1FA3">
            <w:pPr>
              <w:jc w:val="both"/>
              <w:rPr>
                <w:rFonts w:ascii="Calibri" w:hAnsi="Calibri" w:cs="Calibri"/>
                <w:sz w:val="22"/>
              </w:rPr>
            </w:pPr>
          </w:p>
        </w:tc>
      </w:tr>
      <w:tr w:rsidR="009A1FA3" w:rsidRPr="00DC0BDD" w14:paraId="577F7DF6" w14:textId="77777777" w:rsidTr="0025113D">
        <w:tc>
          <w:tcPr>
            <w:tcW w:w="4508" w:type="dxa"/>
          </w:tcPr>
          <w:p w14:paraId="53F20FA4" w14:textId="75394731" w:rsidR="009A1FA3" w:rsidRPr="009A1FA3" w:rsidRDefault="009A1FA3" w:rsidP="009A1FA3">
            <w:pPr>
              <w:jc w:val="both"/>
              <w:rPr>
                <w:rFonts w:ascii="Calibri" w:hAnsi="Calibri" w:cs="Calibri"/>
                <w:sz w:val="22"/>
                <w:lang w:val="fr-BE"/>
              </w:rPr>
            </w:pPr>
            <w:r w:rsidRPr="009A1FA3">
              <w:rPr>
                <w:rFonts w:ascii="Calibri" w:hAnsi="Calibri" w:cs="Calibri"/>
                <w:sz w:val="22"/>
                <w:lang w:val="fr-BE"/>
              </w:rPr>
              <w:t xml:space="preserve">Même si à l’occasion de leur contrôle, les officiers de police judiciaire de l’IBPT sont amenés à prendre connaissance de données des abonnés de l’opérateur contrôlé, il convient de rappeler que l’objectif de ce contrôle est de vérifier le respect par l’opérateur de la législation et non d’enquêter sur les particuliers dont les données sont conservées.  </w:t>
            </w:r>
          </w:p>
        </w:tc>
        <w:tc>
          <w:tcPr>
            <w:tcW w:w="4508" w:type="dxa"/>
          </w:tcPr>
          <w:p w14:paraId="084EF0FB" w14:textId="69C8D581" w:rsidR="009A1FA3" w:rsidRPr="009A1FA3" w:rsidRDefault="009A1FA3" w:rsidP="009A1FA3">
            <w:pPr>
              <w:jc w:val="both"/>
              <w:rPr>
                <w:rFonts w:ascii="Calibri" w:hAnsi="Calibri" w:cs="Calibri"/>
                <w:sz w:val="22"/>
              </w:rPr>
            </w:pPr>
            <w:r w:rsidRPr="009A1FA3">
              <w:rPr>
                <w:rFonts w:ascii="Calibri" w:hAnsi="Calibri" w:cs="Calibri"/>
                <w:sz w:val="22"/>
              </w:rPr>
              <w:t xml:space="preserve">Hoewel de </w:t>
            </w:r>
            <w:r w:rsidR="00AD32FE">
              <w:rPr>
                <w:rFonts w:ascii="Calibri" w:hAnsi="Calibri" w:cs="Calibri"/>
                <w:sz w:val="22"/>
              </w:rPr>
              <w:t>officieren</w:t>
            </w:r>
            <w:r w:rsidRPr="009A1FA3">
              <w:rPr>
                <w:rFonts w:ascii="Calibri" w:hAnsi="Calibri" w:cs="Calibri"/>
                <w:sz w:val="22"/>
              </w:rPr>
              <w:t xml:space="preserve"> van gerechtelijke politie van het BIPT ter gelegenheid van hun controle ertoe gebracht worden om kennis te nemen van gegevens van de abonnees van de gecontroleerde operator, moet eraan worden herinnerd dat het doel van die controle erin bestaat om na te gaan of de operator de wetgeving naleeft en niet om een onderzoek in te stellen naar de privépersonen van wie de gegevens worden bewaard.  </w:t>
            </w:r>
          </w:p>
        </w:tc>
      </w:tr>
      <w:tr w:rsidR="009A1FA3" w:rsidRPr="00DC0BDD" w14:paraId="76A0C6E6" w14:textId="77777777" w:rsidTr="0025113D">
        <w:tc>
          <w:tcPr>
            <w:tcW w:w="4508" w:type="dxa"/>
          </w:tcPr>
          <w:p w14:paraId="6665F9FC" w14:textId="77777777" w:rsidR="009A1FA3" w:rsidRPr="003A24C7" w:rsidRDefault="009A1FA3" w:rsidP="009A1FA3">
            <w:pPr>
              <w:jc w:val="both"/>
              <w:rPr>
                <w:rFonts w:ascii="Calibri" w:hAnsi="Calibri" w:cs="Calibri"/>
                <w:sz w:val="22"/>
              </w:rPr>
            </w:pPr>
          </w:p>
        </w:tc>
        <w:tc>
          <w:tcPr>
            <w:tcW w:w="4508" w:type="dxa"/>
          </w:tcPr>
          <w:p w14:paraId="7134189A" w14:textId="77777777" w:rsidR="009A1FA3" w:rsidRPr="009A1FA3" w:rsidRDefault="009A1FA3" w:rsidP="009A1FA3">
            <w:pPr>
              <w:jc w:val="both"/>
              <w:rPr>
                <w:rFonts w:ascii="Calibri" w:hAnsi="Calibri" w:cs="Calibri"/>
                <w:sz w:val="22"/>
              </w:rPr>
            </w:pPr>
          </w:p>
        </w:tc>
      </w:tr>
      <w:tr w:rsidR="009A1FA3" w:rsidRPr="00DC0BDD" w14:paraId="28BE7F9A" w14:textId="77777777" w:rsidTr="0025113D">
        <w:tc>
          <w:tcPr>
            <w:tcW w:w="4508" w:type="dxa"/>
          </w:tcPr>
          <w:p w14:paraId="511029B9" w14:textId="43EA436B" w:rsidR="009A1FA3" w:rsidRPr="009A1FA3" w:rsidRDefault="009A1FA3" w:rsidP="009A1FA3">
            <w:pPr>
              <w:jc w:val="both"/>
              <w:rPr>
                <w:rFonts w:ascii="Calibri" w:hAnsi="Calibri" w:cs="Calibri"/>
                <w:sz w:val="22"/>
                <w:lang w:val="fr-BE"/>
              </w:rPr>
            </w:pPr>
            <w:r w:rsidRPr="009A1FA3">
              <w:rPr>
                <w:rFonts w:ascii="Calibri" w:hAnsi="Calibri" w:cs="Calibri"/>
                <w:color w:val="000000" w:themeColor="text1"/>
                <w:sz w:val="22"/>
                <w:lang w:val="fr-BE" w:eastAsia="nl-BE"/>
              </w:rPr>
              <w:t xml:space="preserve">Il est essentiel que les officiers de police judiciaire puissent prendre une copie des données et documents consultés qui démontrent une infraction afin qu’une réponse puisse être apportée en cas de contestation de l’infraction. Afin de limiter le traitement de données à caractère personnel, ils ne peuvent pas garder de copie dans d’autres cas.  </w:t>
            </w:r>
          </w:p>
        </w:tc>
        <w:tc>
          <w:tcPr>
            <w:tcW w:w="4508" w:type="dxa"/>
          </w:tcPr>
          <w:p w14:paraId="741D7280" w14:textId="38E8D1B2" w:rsidR="009A1FA3" w:rsidRPr="009A1FA3" w:rsidRDefault="009A1FA3" w:rsidP="009A1FA3">
            <w:pPr>
              <w:jc w:val="both"/>
              <w:rPr>
                <w:rFonts w:ascii="Calibri" w:hAnsi="Calibri" w:cs="Calibri"/>
                <w:sz w:val="22"/>
              </w:rPr>
            </w:pPr>
            <w:r w:rsidRPr="009A1FA3">
              <w:rPr>
                <w:rFonts w:ascii="Calibri" w:hAnsi="Calibri" w:cs="Calibri"/>
                <w:sz w:val="22"/>
              </w:rPr>
              <w:t xml:space="preserve">Het is van fundamenteel belang dat de </w:t>
            </w:r>
            <w:r w:rsidR="00AD32FE">
              <w:rPr>
                <w:rFonts w:ascii="Calibri" w:hAnsi="Calibri" w:cs="Calibri"/>
                <w:sz w:val="22"/>
              </w:rPr>
              <w:t>officieren</w:t>
            </w:r>
            <w:r w:rsidRPr="009A1FA3">
              <w:rPr>
                <w:rFonts w:ascii="Calibri" w:hAnsi="Calibri" w:cs="Calibri"/>
                <w:sz w:val="22"/>
              </w:rPr>
              <w:t xml:space="preserve"> van gerechtelijke politie een kopie mogen nemen van de geraadpleegde gegevens en documenten die een inbreuk aantonen, opdat een antwoord kan worden gegeven in geval van betwisting van de inbreuk. Om de verwerking van persoonsgegevens te beperken, mogen ze in andere gevallen geen kopie bewaren.</w:t>
            </w:r>
          </w:p>
        </w:tc>
      </w:tr>
      <w:tr w:rsidR="009A1FA3" w:rsidRPr="00DC0BDD" w14:paraId="04B1E331" w14:textId="77777777" w:rsidTr="0025113D">
        <w:tc>
          <w:tcPr>
            <w:tcW w:w="4508" w:type="dxa"/>
          </w:tcPr>
          <w:p w14:paraId="2F320E63" w14:textId="77777777" w:rsidR="009A1FA3" w:rsidRPr="009A1FA3" w:rsidRDefault="009A1FA3" w:rsidP="009A1FA3">
            <w:pPr>
              <w:jc w:val="both"/>
              <w:rPr>
                <w:rFonts w:ascii="Calibri" w:hAnsi="Calibri" w:cs="Calibri"/>
                <w:sz w:val="22"/>
              </w:rPr>
            </w:pPr>
          </w:p>
        </w:tc>
        <w:tc>
          <w:tcPr>
            <w:tcW w:w="4508" w:type="dxa"/>
          </w:tcPr>
          <w:p w14:paraId="2E5EC4D5" w14:textId="77777777" w:rsidR="009A1FA3" w:rsidRPr="009A1FA3" w:rsidRDefault="009A1FA3" w:rsidP="009A1FA3">
            <w:pPr>
              <w:jc w:val="both"/>
              <w:rPr>
                <w:rFonts w:ascii="Calibri" w:hAnsi="Calibri" w:cs="Calibri"/>
                <w:sz w:val="22"/>
              </w:rPr>
            </w:pPr>
          </w:p>
        </w:tc>
      </w:tr>
      <w:tr w:rsidR="009A1FA3" w:rsidRPr="00DC0BDD" w14:paraId="5FC3F75A" w14:textId="77777777" w:rsidTr="0025113D">
        <w:tc>
          <w:tcPr>
            <w:tcW w:w="4508" w:type="dxa"/>
          </w:tcPr>
          <w:p w14:paraId="37DEBE15" w14:textId="259780B8" w:rsidR="009A1FA3" w:rsidRPr="009A1FA3" w:rsidRDefault="009A1FA3" w:rsidP="009A1FA3">
            <w:pPr>
              <w:jc w:val="both"/>
              <w:rPr>
                <w:rFonts w:ascii="Calibri" w:hAnsi="Calibri" w:cs="Calibri"/>
                <w:sz w:val="22"/>
                <w:lang w:val="fr-BE"/>
              </w:rPr>
            </w:pPr>
            <w:r w:rsidRPr="009A1FA3">
              <w:rPr>
                <w:rFonts w:ascii="Calibri" w:hAnsi="Calibri" w:cs="Calibri"/>
                <w:b/>
                <w:bCs/>
                <w:sz w:val="22"/>
                <w:u w:val="single"/>
                <w:lang w:val="fr-BE"/>
              </w:rPr>
              <w:t xml:space="preserve">Paragraphe 4 : le délai pour répondre à la demande et les sanctions applicables </w:t>
            </w:r>
          </w:p>
        </w:tc>
        <w:tc>
          <w:tcPr>
            <w:tcW w:w="4508" w:type="dxa"/>
          </w:tcPr>
          <w:p w14:paraId="772EF6EE" w14:textId="4031C918" w:rsidR="009A1FA3" w:rsidRPr="009A1FA3" w:rsidRDefault="009A1FA3" w:rsidP="009A1FA3">
            <w:pPr>
              <w:jc w:val="both"/>
              <w:rPr>
                <w:rFonts w:ascii="Calibri" w:hAnsi="Calibri" w:cs="Calibri"/>
                <w:sz w:val="22"/>
              </w:rPr>
            </w:pPr>
            <w:r w:rsidRPr="009A1FA3">
              <w:rPr>
                <w:rFonts w:ascii="Calibri" w:hAnsi="Calibri" w:cs="Calibri"/>
                <w:b/>
                <w:sz w:val="22"/>
                <w:u w:val="single"/>
              </w:rPr>
              <w:t xml:space="preserve">Paragraaf 4: de termijn om op het verzoek te antwoorden en de toepasselijke sancties </w:t>
            </w:r>
          </w:p>
        </w:tc>
      </w:tr>
      <w:tr w:rsidR="009A1FA3" w:rsidRPr="00DC0BDD" w14:paraId="7E07D83A" w14:textId="77777777" w:rsidTr="0025113D">
        <w:tc>
          <w:tcPr>
            <w:tcW w:w="4508" w:type="dxa"/>
          </w:tcPr>
          <w:p w14:paraId="7BF5314D" w14:textId="77777777" w:rsidR="009A1FA3" w:rsidRPr="009A1FA3" w:rsidRDefault="009A1FA3" w:rsidP="009A1FA3">
            <w:pPr>
              <w:jc w:val="both"/>
              <w:rPr>
                <w:rFonts w:ascii="Calibri" w:hAnsi="Calibri" w:cs="Calibri"/>
                <w:sz w:val="22"/>
              </w:rPr>
            </w:pPr>
          </w:p>
        </w:tc>
        <w:tc>
          <w:tcPr>
            <w:tcW w:w="4508" w:type="dxa"/>
          </w:tcPr>
          <w:p w14:paraId="08714F9C" w14:textId="77777777" w:rsidR="009A1FA3" w:rsidRPr="009A1FA3" w:rsidRDefault="009A1FA3" w:rsidP="009A1FA3">
            <w:pPr>
              <w:jc w:val="both"/>
              <w:rPr>
                <w:rFonts w:ascii="Calibri" w:hAnsi="Calibri" w:cs="Calibri"/>
                <w:sz w:val="22"/>
              </w:rPr>
            </w:pPr>
          </w:p>
        </w:tc>
      </w:tr>
      <w:tr w:rsidR="009A1FA3" w:rsidRPr="00DC0BDD" w14:paraId="3C38FD51" w14:textId="77777777" w:rsidTr="0025113D">
        <w:tc>
          <w:tcPr>
            <w:tcW w:w="4508" w:type="dxa"/>
          </w:tcPr>
          <w:p w14:paraId="0DFF30FE" w14:textId="7EA6F4F8" w:rsidR="009A1FA3" w:rsidRPr="009A1FA3" w:rsidRDefault="009A1FA3" w:rsidP="009A1FA3">
            <w:pPr>
              <w:jc w:val="both"/>
              <w:rPr>
                <w:rFonts w:ascii="Calibri" w:hAnsi="Calibri" w:cs="Calibri"/>
                <w:sz w:val="22"/>
                <w:lang w:val="fr-BE"/>
              </w:rPr>
            </w:pPr>
            <w:r w:rsidRPr="009A1FA3">
              <w:rPr>
                <w:rFonts w:ascii="Calibri" w:hAnsi="Calibri" w:cs="Calibri"/>
                <w:sz w:val="22"/>
                <w:lang w:val="fr-BE"/>
              </w:rPr>
              <w:t>Concernant la justification de ce nouveau paragraphe, il est renvoyé à l’amendement n° XX qui complète l’article 46bis du Code d’instruction criminelle.</w:t>
            </w:r>
          </w:p>
        </w:tc>
        <w:tc>
          <w:tcPr>
            <w:tcW w:w="4508" w:type="dxa"/>
          </w:tcPr>
          <w:p w14:paraId="120746EF" w14:textId="6610CFF1" w:rsidR="009A1FA3" w:rsidRPr="009A1FA3" w:rsidRDefault="009A1FA3" w:rsidP="009A1FA3">
            <w:pPr>
              <w:jc w:val="both"/>
              <w:rPr>
                <w:rFonts w:ascii="Calibri" w:hAnsi="Calibri" w:cs="Calibri"/>
                <w:sz w:val="22"/>
              </w:rPr>
            </w:pPr>
            <w:r w:rsidRPr="009A1FA3">
              <w:rPr>
                <w:rFonts w:ascii="Calibri" w:hAnsi="Calibri" w:cs="Calibri"/>
                <w:sz w:val="22"/>
              </w:rPr>
              <w:t>Voor de verantwoording van deze nieuwe paragraaf wordt verwezen naar amendement nr. XX, dat artikel 46bis van het Wetboek van Strafvordering aanvult.</w:t>
            </w:r>
          </w:p>
        </w:tc>
      </w:tr>
      <w:tr w:rsidR="009A1FA3" w:rsidRPr="00DC0BDD" w14:paraId="36DF2CE9" w14:textId="77777777" w:rsidTr="0025113D">
        <w:tc>
          <w:tcPr>
            <w:tcW w:w="4508" w:type="dxa"/>
          </w:tcPr>
          <w:p w14:paraId="715AD2A2" w14:textId="77777777" w:rsidR="009A1FA3" w:rsidRPr="00DC0BDD" w:rsidRDefault="009A1FA3" w:rsidP="009A1FA3">
            <w:pPr>
              <w:jc w:val="both"/>
              <w:rPr>
                <w:rFonts w:asciiTheme="minorHAnsi" w:hAnsiTheme="minorHAnsi" w:cstheme="minorHAnsi"/>
                <w:sz w:val="22"/>
              </w:rPr>
            </w:pPr>
          </w:p>
        </w:tc>
        <w:tc>
          <w:tcPr>
            <w:tcW w:w="4508" w:type="dxa"/>
          </w:tcPr>
          <w:p w14:paraId="444F7242" w14:textId="77777777" w:rsidR="009A1FA3" w:rsidRPr="00DC0BDD" w:rsidRDefault="009A1FA3" w:rsidP="009A1FA3">
            <w:pPr>
              <w:jc w:val="both"/>
              <w:rPr>
                <w:rFonts w:asciiTheme="minorHAnsi" w:hAnsiTheme="minorHAnsi" w:cstheme="minorHAnsi"/>
                <w:sz w:val="22"/>
              </w:rPr>
            </w:pPr>
          </w:p>
        </w:tc>
      </w:tr>
      <w:tr w:rsidR="009A1FA3" w:rsidRPr="00DC0BDD" w14:paraId="3D2C9879" w14:textId="77777777" w:rsidTr="0025113D">
        <w:tc>
          <w:tcPr>
            <w:tcW w:w="4508" w:type="dxa"/>
          </w:tcPr>
          <w:p w14:paraId="2ACAC5CE" w14:textId="2E54A80B" w:rsidR="009A1FA3" w:rsidRPr="009A1FA3" w:rsidRDefault="009A1FA3" w:rsidP="009A1FA3">
            <w:pPr>
              <w:jc w:val="both"/>
              <w:rPr>
                <w:rFonts w:ascii="Calibri" w:hAnsi="Calibri" w:cs="Calibri"/>
                <w:sz w:val="22"/>
                <w:lang w:val="fr-BE"/>
              </w:rPr>
            </w:pPr>
            <w:r w:rsidRPr="009A1FA3">
              <w:rPr>
                <w:rFonts w:ascii="Calibri" w:hAnsi="Calibri" w:cs="Calibri"/>
                <w:b/>
                <w:sz w:val="22"/>
                <w:u w:val="single"/>
                <w:lang w:val="fr-BE"/>
              </w:rPr>
              <w:t xml:space="preserve">Paragraphe </w:t>
            </w:r>
            <w:r w:rsidRPr="009A1FA3">
              <w:rPr>
                <w:rFonts w:ascii="Calibri" w:hAnsi="Calibri" w:cs="Calibri"/>
                <w:b/>
                <w:bCs/>
                <w:sz w:val="22"/>
                <w:u w:val="single"/>
                <w:lang w:val="fr-BE"/>
              </w:rPr>
              <w:t>5 :</w:t>
            </w:r>
            <w:r w:rsidRPr="009A1FA3">
              <w:rPr>
                <w:rFonts w:ascii="Calibri" w:hAnsi="Calibri" w:cs="Calibri"/>
                <w:b/>
                <w:sz w:val="22"/>
                <w:u w:val="single"/>
                <w:lang w:val="fr-BE"/>
              </w:rPr>
              <w:t xml:space="preserve"> la motivation des demandes </w:t>
            </w:r>
          </w:p>
        </w:tc>
        <w:tc>
          <w:tcPr>
            <w:tcW w:w="4508" w:type="dxa"/>
          </w:tcPr>
          <w:p w14:paraId="40133D89" w14:textId="00BF7EA0" w:rsidR="009A1FA3" w:rsidRPr="009A1FA3" w:rsidRDefault="009A1FA3" w:rsidP="009A1FA3">
            <w:pPr>
              <w:jc w:val="both"/>
              <w:rPr>
                <w:rFonts w:ascii="Calibri" w:hAnsi="Calibri" w:cs="Calibri"/>
                <w:sz w:val="22"/>
              </w:rPr>
            </w:pPr>
            <w:r w:rsidRPr="009A1FA3">
              <w:rPr>
                <w:rFonts w:ascii="Calibri" w:hAnsi="Calibri" w:cs="Calibri"/>
                <w:b/>
                <w:sz w:val="22"/>
                <w:u w:val="single"/>
              </w:rPr>
              <w:t xml:space="preserve">Paragraaf 5: de motivering van de verzoeken </w:t>
            </w:r>
          </w:p>
        </w:tc>
      </w:tr>
      <w:tr w:rsidR="009A1FA3" w:rsidRPr="00DC0BDD" w14:paraId="450FC64F" w14:textId="77777777" w:rsidTr="0025113D">
        <w:tc>
          <w:tcPr>
            <w:tcW w:w="4508" w:type="dxa"/>
          </w:tcPr>
          <w:p w14:paraId="72E21C6A" w14:textId="77777777" w:rsidR="009A1FA3" w:rsidRPr="009A1FA3" w:rsidRDefault="009A1FA3" w:rsidP="009A1FA3">
            <w:pPr>
              <w:jc w:val="both"/>
              <w:rPr>
                <w:rFonts w:ascii="Calibri" w:hAnsi="Calibri" w:cs="Calibri"/>
                <w:sz w:val="22"/>
              </w:rPr>
            </w:pPr>
          </w:p>
        </w:tc>
        <w:tc>
          <w:tcPr>
            <w:tcW w:w="4508" w:type="dxa"/>
          </w:tcPr>
          <w:p w14:paraId="67691321" w14:textId="77777777" w:rsidR="009A1FA3" w:rsidRPr="009A1FA3" w:rsidRDefault="009A1FA3" w:rsidP="009A1FA3">
            <w:pPr>
              <w:jc w:val="both"/>
              <w:rPr>
                <w:rFonts w:ascii="Calibri" w:hAnsi="Calibri" w:cs="Calibri"/>
                <w:sz w:val="22"/>
              </w:rPr>
            </w:pPr>
          </w:p>
        </w:tc>
      </w:tr>
      <w:tr w:rsidR="009A1FA3" w:rsidRPr="00DC0BDD" w14:paraId="216ECE76" w14:textId="77777777" w:rsidTr="0025113D">
        <w:tc>
          <w:tcPr>
            <w:tcW w:w="4508" w:type="dxa"/>
          </w:tcPr>
          <w:p w14:paraId="09379F11" w14:textId="3F198FA0" w:rsidR="009A1FA3" w:rsidRPr="009A1FA3" w:rsidRDefault="009A1FA3" w:rsidP="009A1FA3">
            <w:pPr>
              <w:jc w:val="both"/>
              <w:rPr>
                <w:rFonts w:ascii="Calibri" w:hAnsi="Calibri" w:cs="Calibri"/>
                <w:sz w:val="22"/>
              </w:rPr>
            </w:pPr>
            <w:r w:rsidRPr="009A1FA3">
              <w:rPr>
                <w:rFonts w:ascii="Calibri" w:hAnsi="Calibri" w:cs="Calibri"/>
                <w:sz w:val="22"/>
                <w:lang w:val="fr-BE"/>
              </w:rPr>
              <w:t xml:space="preserve">Le paragraphe 5 a pour objectif d’incorporer dans la loi-statut les exigences posées par la Cour constitutionnelle dans son arrêt n°158/2021 du 18/11/2021, point B.16.8.7. (cf. supra). </w:t>
            </w:r>
          </w:p>
        </w:tc>
        <w:tc>
          <w:tcPr>
            <w:tcW w:w="4508" w:type="dxa"/>
          </w:tcPr>
          <w:p w14:paraId="35DE04E6" w14:textId="52A7CD8F" w:rsidR="009A1FA3" w:rsidRPr="009A1FA3" w:rsidRDefault="009A1FA3" w:rsidP="009A1FA3">
            <w:pPr>
              <w:jc w:val="both"/>
              <w:rPr>
                <w:rFonts w:ascii="Calibri" w:hAnsi="Calibri" w:cs="Calibri"/>
                <w:sz w:val="22"/>
              </w:rPr>
            </w:pPr>
            <w:r w:rsidRPr="009A1FA3">
              <w:rPr>
                <w:rFonts w:ascii="Calibri" w:hAnsi="Calibri" w:cs="Calibri"/>
                <w:sz w:val="22"/>
              </w:rPr>
              <w:t xml:space="preserve">Paragraaf 5 heeft tot doel in de statuutwet de eisen op te nemen die zijn gesteld door het Grondwettelijk Hof in zijn arrest nr. 158/2021 van 18/11/2021, punt B.16.8.7. (zie hierboven). </w:t>
            </w:r>
          </w:p>
        </w:tc>
      </w:tr>
      <w:tr w:rsidR="009A1FA3" w:rsidRPr="00DC0BDD" w14:paraId="2EDED702" w14:textId="77777777" w:rsidTr="0025113D">
        <w:tc>
          <w:tcPr>
            <w:tcW w:w="4508" w:type="dxa"/>
          </w:tcPr>
          <w:p w14:paraId="3FFD29FA" w14:textId="77777777" w:rsidR="009A1FA3" w:rsidRPr="009A1FA3" w:rsidRDefault="009A1FA3" w:rsidP="009A1FA3">
            <w:pPr>
              <w:jc w:val="both"/>
              <w:rPr>
                <w:rFonts w:ascii="Calibri" w:hAnsi="Calibri" w:cs="Calibri"/>
                <w:sz w:val="22"/>
                <w:lang w:val="fr-BE"/>
              </w:rPr>
            </w:pPr>
          </w:p>
        </w:tc>
        <w:tc>
          <w:tcPr>
            <w:tcW w:w="4508" w:type="dxa"/>
          </w:tcPr>
          <w:p w14:paraId="6E402BD7" w14:textId="77777777" w:rsidR="009A1FA3" w:rsidRPr="009A1FA3" w:rsidRDefault="009A1FA3" w:rsidP="009A1FA3">
            <w:pPr>
              <w:jc w:val="both"/>
              <w:rPr>
                <w:rFonts w:ascii="Calibri" w:hAnsi="Calibri" w:cs="Calibri"/>
                <w:sz w:val="22"/>
              </w:rPr>
            </w:pPr>
          </w:p>
        </w:tc>
      </w:tr>
      <w:tr w:rsidR="009A1FA3" w:rsidRPr="00DC0BDD" w14:paraId="04DEE71D" w14:textId="77777777" w:rsidTr="0025113D">
        <w:tc>
          <w:tcPr>
            <w:tcW w:w="4508" w:type="dxa"/>
          </w:tcPr>
          <w:p w14:paraId="32F355B7" w14:textId="0A85B806" w:rsidR="009A1FA3" w:rsidRPr="009A1FA3" w:rsidRDefault="009A1FA3" w:rsidP="009A1FA3">
            <w:pPr>
              <w:jc w:val="both"/>
              <w:rPr>
                <w:rFonts w:ascii="Calibri" w:hAnsi="Calibri" w:cs="Calibri"/>
                <w:sz w:val="22"/>
                <w:lang w:val="fr-BE"/>
              </w:rPr>
            </w:pPr>
            <w:r w:rsidRPr="009A1FA3">
              <w:rPr>
                <w:rFonts w:ascii="Calibri" w:hAnsi="Calibri" w:cs="Calibri"/>
                <w:color w:val="000000"/>
                <w:sz w:val="22"/>
                <w:lang w:val="fr-BE" w:eastAsia="nl-NL"/>
              </w:rPr>
              <w:t xml:space="preserve">Les OPJ de l’IBPT doivent toujours disposer, à cet effet, d’indices concrets que l’identification de l’abonné est nécessaire dans le cadre de leurs missions. </w:t>
            </w:r>
          </w:p>
        </w:tc>
        <w:tc>
          <w:tcPr>
            <w:tcW w:w="4508" w:type="dxa"/>
          </w:tcPr>
          <w:p w14:paraId="3C2C26F2" w14:textId="46F18630" w:rsidR="009A1FA3" w:rsidRPr="009A1FA3" w:rsidRDefault="009A1FA3" w:rsidP="009A1FA3">
            <w:pPr>
              <w:jc w:val="both"/>
              <w:rPr>
                <w:rFonts w:ascii="Calibri" w:hAnsi="Calibri" w:cs="Calibri"/>
                <w:sz w:val="22"/>
              </w:rPr>
            </w:pPr>
            <w:r w:rsidRPr="009A1FA3">
              <w:rPr>
                <w:rFonts w:ascii="Calibri" w:hAnsi="Calibri" w:cs="Calibri"/>
                <w:color w:val="000000"/>
                <w:sz w:val="22"/>
              </w:rPr>
              <w:t xml:space="preserve">De </w:t>
            </w:r>
            <w:proofErr w:type="spellStart"/>
            <w:r w:rsidRPr="009A1FA3">
              <w:rPr>
                <w:rFonts w:ascii="Calibri" w:hAnsi="Calibri" w:cs="Calibri"/>
                <w:color w:val="000000"/>
                <w:sz w:val="22"/>
              </w:rPr>
              <w:t>OGP’s</w:t>
            </w:r>
            <w:proofErr w:type="spellEnd"/>
            <w:r w:rsidRPr="009A1FA3">
              <w:rPr>
                <w:rFonts w:ascii="Calibri" w:hAnsi="Calibri" w:cs="Calibri"/>
                <w:color w:val="000000"/>
                <w:sz w:val="22"/>
              </w:rPr>
              <w:t xml:space="preserve"> van het BIPT moeten daartoe steeds over concrete aanwijzingen beschikken dat de identificatie van de abonnee noodzakelijk is in het kader van hun opdrachten. </w:t>
            </w:r>
          </w:p>
        </w:tc>
      </w:tr>
      <w:tr w:rsidR="009A1FA3" w:rsidRPr="00DC0BDD" w14:paraId="338118E3" w14:textId="77777777" w:rsidTr="0025113D">
        <w:tc>
          <w:tcPr>
            <w:tcW w:w="4508" w:type="dxa"/>
          </w:tcPr>
          <w:p w14:paraId="63EF5139" w14:textId="77777777" w:rsidR="009A1FA3" w:rsidRPr="003A24C7" w:rsidRDefault="009A1FA3" w:rsidP="009A1FA3">
            <w:pPr>
              <w:jc w:val="both"/>
              <w:rPr>
                <w:rFonts w:ascii="Calibri" w:hAnsi="Calibri" w:cs="Calibri"/>
                <w:color w:val="000000"/>
                <w:sz w:val="22"/>
                <w:lang w:eastAsia="nl-NL"/>
              </w:rPr>
            </w:pPr>
          </w:p>
        </w:tc>
        <w:tc>
          <w:tcPr>
            <w:tcW w:w="4508" w:type="dxa"/>
          </w:tcPr>
          <w:p w14:paraId="6F0BD1EB" w14:textId="77777777" w:rsidR="009A1FA3" w:rsidRPr="009A1FA3" w:rsidRDefault="009A1FA3" w:rsidP="009A1FA3">
            <w:pPr>
              <w:jc w:val="both"/>
              <w:rPr>
                <w:rFonts w:ascii="Calibri" w:hAnsi="Calibri" w:cs="Calibri"/>
                <w:color w:val="000000"/>
                <w:sz w:val="22"/>
              </w:rPr>
            </w:pPr>
          </w:p>
        </w:tc>
      </w:tr>
      <w:tr w:rsidR="009A1FA3" w:rsidRPr="00DC0BDD" w14:paraId="249842DF" w14:textId="77777777" w:rsidTr="0025113D">
        <w:tc>
          <w:tcPr>
            <w:tcW w:w="4508" w:type="dxa"/>
          </w:tcPr>
          <w:p w14:paraId="76BDA2E7" w14:textId="3AB5A845" w:rsidR="009A1FA3" w:rsidRPr="009A1FA3" w:rsidRDefault="009A1FA3" w:rsidP="009A1FA3">
            <w:pPr>
              <w:jc w:val="both"/>
              <w:rPr>
                <w:rFonts w:ascii="Calibri" w:hAnsi="Calibri" w:cs="Calibri"/>
                <w:sz w:val="22"/>
                <w:lang w:val="fr-BE"/>
              </w:rPr>
            </w:pPr>
            <w:r w:rsidRPr="009A1FA3">
              <w:rPr>
                <w:rFonts w:ascii="Calibri" w:hAnsi="Calibri" w:cs="Calibri"/>
                <w:sz w:val="22"/>
                <w:lang w:val="fr-BE"/>
              </w:rPr>
              <w:t xml:space="preserve">Ces exigences ne sont pas applicables dans le cadre de la consultation par un OPJ de l’IBPT d’une base de données de l’opérateur afin de contrôler que ce dernier respecte bien la législation télécom. En effet, dans ce cadre, il n’y a pas de demande de données qui seraient communiquées de l’opérateur à l’OPJ dans le cadre d’une enquête pénale mais plutôt une consultation de cet OPJ de la base de données, afin de contrôler l’opérateur sur base d’échantillons représentatifs.  Cependant, l’exigence de la Cour constitutionnelle concernant la motivation in </w:t>
            </w:r>
            <w:proofErr w:type="spellStart"/>
            <w:r w:rsidRPr="009A1FA3">
              <w:rPr>
                <w:rFonts w:ascii="Calibri" w:hAnsi="Calibri" w:cs="Calibri"/>
                <w:sz w:val="22"/>
                <w:lang w:val="fr-BE"/>
              </w:rPr>
              <w:t>concreto</w:t>
            </w:r>
            <w:proofErr w:type="spellEnd"/>
            <w:r w:rsidRPr="009A1FA3">
              <w:rPr>
                <w:rFonts w:ascii="Calibri" w:hAnsi="Calibri" w:cs="Calibri"/>
                <w:sz w:val="22"/>
                <w:lang w:val="fr-BE"/>
              </w:rPr>
              <w:t xml:space="preserve"> est reprise pour le contrôle de l’opérateur, étant donné qu’il s’agit d’un principe général.  </w:t>
            </w:r>
          </w:p>
        </w:tc>
        <w:tc>
          <w:tcPr>
            <w:tcW w:w="4508" w:type="dxa"/>
          </w:tcPr>
          <w:p w14:paraId="641F6CA8" w14:textId="660527D2" w:rsidR="009A1FA3" w:rsidRPr="009A1FA3" w:rsidRDefault="009A1FA3" w:rsidP="009A1FA3">
            <w:pPr>
              <w:jc w:val="both"/>
              <w:rPr>
                <w:rFonts w:ascii="Calibri" w:hAnsi="Calibri" w:cs="Calibri"/>
                <w:sz w:val="22"/>
              </w:rPr>
            </w:pPr>
            <w:r w:rsidRPr="009A1FA3">
              <w:rPr>
                <w:rFonts w:ascii="Calibri" w:hAnsi="Calibri" w:cs="Calibri"/>
                <w:sz w:val="22"/>
              </w:rPr>
              <w:t xml:space="preserve">Die eisen gelden niet wanneer een OGP van het BIPT een databank van de operator raadpleegt om te controleren of deze laatste wel degelijk de telecomwetgeving naleeft. In dat kader is er immers geen verzoek om gegevens die door de operator aan de OGP zouden worden meegedeeld als deel van een strafonderzoek, maar wel een raadpleging door die OGP van de databank, met als doel de operator te controleren op basis van representatieve steekproeven.  De eis van het Grondwettelijk Hof in verband met de motivering in </w:t>
            </w:r>
            <w:proofErr w:type="spellStart"/>
            <w:r w:rsidRPr="009A1FA3">
              <w:rPr>
                <w:rFonts w:ascii="Calibri" w:hAnsi="Calibri" w:cs="Calibri"/>
                <w:sz w:val="22"/>
              </w:rPr>
              <w:t>concreto</w:t>
            </w:r>
            <w:proofErr w:type="spellEnd"/>
            <w:r w:rsidRPr="009A1FA3">
              <w:rPr>
                <w:rFonts w:ascii="Calibri" w:hAnsi="Calibri" w:cs="Calibri"/>
                <w:sz w:val="22"/>
              </w:rPr>
              <w:t xml:space="preserve"> is evenwel overgenomen voor de controle van de operator, aangezien het om een algemeen principe gaat.  </w:t>
            </w:r>
          </w:p>
        </w:tc>
      </w:tr>
      <w:tr w:rsidR="009A1FA3" w:rsidRPr="00DC0BDD" w14:paraId="7ED501E6" w14:textId="77777777" w:rsidTr="0025113D">
        <w:tc>
          <w:tcPr>
            <w:tcW w:w="4508" w:type="dxa"/>
          </w:tcPr>
          <w:p w14:paraId="63C1954D" w14:textId="77777777" w:rsidR="009A1FA3" w:rsidRPr="00DC0BDD" w:rsidRDefault="009A1FA3" w:rsidP="009A1FA3">
            <w:pPr>
              <w:jc w:val="both"/>
              <w:rPr>
                <w:rFonts w:asciiTheme="minorHAnsi" w:hAnsiTheme="minorHAnsi" w:cstheme="minorHAnsi"/>
                <w:sz w:val="22"/>
              </w:rPr>
            </w:pPr>
          </w:p>
        </w:tc>
        <w:tc>
          <w:tcPr>
            <w:tcW w:w="4508" w:type="dxa"/>
          </w:tcPr>
          <w:p w14:paraId="1489A03D" w14:textId="77777777" w:rsidR="009A1FA3" w:rsidRPr="00DC0BDD" w:rsidRDefault="009A1FA3" w:rsidP="009A1FA3">
            <w:pPr>
              <w:jc w:val="both"/>
              <w:rPr>
                <w:rFonts w:asciiTheme="minorHAnsi" w:hAnsiTheme="minorHAnsi" w:cstheme="minorHAnsi"/>
                <w:sz w:val="22"/>
              </w:rPr>
            </w:pPr>
          </w:p>
        </w:tc>
      </w:tr>
      <w:tr w:rsidR="009A1FA3" w:rsidRPr="00DC0BDD" w14:paraId="3500356F" w14:textId="77777777" w:rsidTr="0025113D">
        <w:tc>
          <w:tcPr>
            <w:tcW w:w="4508" w:type="dxa"/>
          </w:tcPr>
          <w:p w14:paraId="4CB6C82B" w14:textId="720B4465" w:rsidR="009A1FA3" w:rsidRPr="009A1FA3" w:rsidRDefault="009A1FA3" w:rsidP="009A1FA3">
            <w:pPr>
              <w:jc w:val="both"/>
              <w:rPr>
                <w:rFonts w:ascii="Calibri" w:hAnsi="Calibri" w:cs="Calibri"/>
                <w:sz w:val="22"/>
              </w:rPr>
            </w:pPr>
            <w:r w:rsidRPr="009A1FA3">
              <w:rPr>
                <w:rFonts w:ascii="Calibri" w:hAnsi="Calibri" w:cs="Calibri"/>
                <w:b/>
                <w:bCs/>
                <w:sz w:val="22"/>
                <w:u w:val="single"/>
                <w:lang w:val="fr-BE"/>
              </w:rPr>
              <w:t>Paragraphe 6 : le registre</w:t>
            </w:r>
          </w:p>
        </w:tc>
        <w:tc>
          <w:tcPr>
            <w:tcW w:w="4508" w:type="dxa"/>
          </w:tcPr>
          <w:p w14:paraId="1B29FDF4" w14:textId="354BBD7E" w:rsidR="009A1FA3" w:rsidRPr="009A1FA3" w:rsidRDefault="009A1FA3" w:rsidP="009A1FA3">
            <w:pPr>
              <w:jc w:val="both"/>
              <w:rPr>
                <w:rFonts w:ascii="Calibri" w:hAnsi="Calibri" w:cs="Calibri"/>
                <w:sz w:val="22"/>
              </w:rPr>
            </w:pPr>
            <w:r w:rsidRPr="009A1FA3">
              <w:rPr>
                <w:rFonts w:ascii="Calibri" w:hAnsi="Calibri" w:cs="Calibri"/>
                <w:b/>
                <w:sz w:val="22"/>
                <w:u w:val="single"/>
              </w:rPr>
              <w:t>Paragraaf 6: de inventaris</w:t>
            </w:r>
          </w:p>
        </w:tc>
      </w:tr>
      <w:tr w:rsidR="009A1FA3" w:rsidRPr="00DC0BDD" w14:paraId="083E53B2" w14:textId="77777777" w:rsidTr="0025113D">
        <w:tc>
          <w:tcPr>
            <w:tcW w:w="4508" w:type="dxa"/>
          </w:tcPr>
          <w:p w14:paraId="640EBB37" w14:textId="77777777" w:rsidR="009A1FA3" w:rsidRPr="009A1FA3" w:rsidRDefault="009A1FA3" w:rsidP="009A1FA3">
            <w:pPr>
              <w:jc w:val="both"/>
              <w:rPr>
                <w:rFonts w:ascii="Calibri" w:hAnsi="Calibri" w:cs="Calibri"/>
                <w:sz w:val="22"/>
              </w:rPr>
            </w:pPr>
          </w:p>
        </w:tc>
        <w:tc>
          <w:tcPr>
            <w:tcW w:w="4508" w:type="dxa"/>
          </w:tcPr>
          <w:p w14:paraId="2431094B" w14:textId="77777777" w:rsidR="009A1FA3" w:rsidRPr="009A1FA3" w:rsidRDefault="009A1FA3" w:rsidP="009A1FA3">
            <w:pPr>
              <w:jc w:val="both"/>
              <w:rPr>
                <w:rFonts w:ascii="Calibri" w:hAnsi="Calibri" w:cs="Calibri"/>
                <w:sz w:val="22"/>
              </w:rPr>
            </w:pPr>
          </w:p>
        </w:tc>
      </w:tr>
      <w:tr w:rsidR="009A1FA3" w:rsidRPr="00DC0BDD" w14:paraId="34152152" w14:textId="77777777" w:rsidTr="0025113D">
        <w:tc>
          <w:tcPr>
            <w:tcW w:w="4508" w:type="dxa"/>
          </w:tcPr>
          <w:p w14:paraId="5A1D9826" w14:textId="011B6A45" w:rsidR="009A1FA3" w:rsidRPr="009A1FA3" w:rsidRDefault="009A1FA3" w:rsidP="009A1FA3">
            <w:pPr>
              <w:jc w:val="both"/>
              <w:rPr>
                <w:rFonts w:ascii="Calibri" w:hAnsi="Calibri" w:cs="Calibri"/>
                <w:sz w:val="22"/>
                <w:lang w:val="fr-BE"/>
              </w:rPr>
            </w:pPr>
            <w:r w:rsidRPr="009A1FA3">
              <w:rPr>
                <w:rFonts w:ascii="Calibri" w:hAnsi="Calibri" w:cs="Calibri"/>
                <w:sz w:val="22"/>
                <w:lang w:val="fr-BE"/>
              </w:rPr>
              <w:t xml:space="preserve">Afin de permettre un contrôle interne et un contrôle par le procureur général des demandes que les officiers de police judiciaire de l’IBPT adressent aux opérateurs, aux fournisseurs de services de paiement, à </w:t>
            </w:r>
            <w:proofErr w:type="spellStart"/>
            <w:r w:rsidRPr="009A1FA3">
              <w:rPr>
                <w:rFonts w:ascii="Calibri" w:hAnsi="Calibri" w:cs="Calibri"/>
                <w:sz w:val="22"/>
                <w:lang w:val="fr-BE"/>
              </w:rPr>
              <w:t>Felbefin</w:t>
            </w:r>
            <w:proofErr w:type="spellEnd"/>
            <w:r w:rsidRPr="009A1FA3">
              <w:rPr>
                <w:rFonts w:ascii="Calibri" w:hAnsi="Calibri" w:cs="Calibri"/>
                <w:sz w:val="22"/>
                <w:lang w:val="fr-BE"/>
              </w:rPr>
              <w:t xml:space="preserve">, aux centres fermés ou lieux d’hébergement ou aux personnes morales, ces OPJ  tiennent un inventaire de ces demandes auprès de l’IBPT. A cet égard, il est utile de rappeler que selon le paragraphe 5 de l’article 25, </w:t>
            </w:r>
            <w:r w:rsidRPr="009A1FA3">
              <w:rPr>
                <w:rFonts w:ascii="Calibri" w:hAnsi="Calibri" w:cs="Calibri"/>
                <w:color w:val="000000" w:themeColor="text1"/>
                <w:sz w:val="22"/>
                <w:lang w:val="fr-BE"/>
              </w:rPr>
              <w:t>les officiers de police judiciaire de l’Institut sont soumis à la surveillance du procureur général.</w:t>
            </w:r>
          </w:p>
        </w:tc>
        <w:tc>
          <w:tcPr>
            <w:tcW w:w="4508" w:type="dxa"/>
          </w:tcPr>
          <w:p w14:paraId="3C62C465" w14:textId="115AD519" w:rsidR="009A1FA3" w:rsidRPr="009A1FA3" w:rsidRDefault="009A1FA3" w:rsidP="009A1FA3">
            <w:pPr>
              <w:jc w:val="both"/>
              <w:rPr>
                <w:rFonts w:ascii="Calibri" w:hAnsi="Calibri" w:cs="Calibri"/>
                <w:sz w:val="22"/>
              </w:rPr>
            </w:pPr>
            <w:r w:rsidRPr="009A1FA3">
              <w:rPr>
                <w:rFonts w:ascii="Calibri" w:hAnsi="Calibri" w:cs="Calibri"/>
                <w:sz w:val="22"/>
              </w:rPr>
              <w:t xml:space="preserve">Om een interne controle en een controle door de procureur-generaal mogelijk te maken van de verzoeken die de </w:t>
            </w:r>
            <w:r w:rsidR="00AD32FE">
              <w:rPr>
                <w:rFonts w:ascii="Calibri" w:hAnsi="Calibri" w:cs="Calibri"/>
                <w:sz w:val="22"/>
              </w:rPr>
              <w:t>officieren</w:t>
            </w:r>
            <w:r w:rsidRPr="009A1FA3">
              <w:rPr>
                <w:rFonts w:ascii="Calibri" w:hAnsi="Calibri" w:cs="Calibri"/>
                <w:sz w:val="22"/>
              </w:rPr>
              <w:t xml:space="preserve"> van gerechtelijke politie van het BIPT richten aan de operatoren, aan de aanbieders van betalingsdiensten, aan Febelfin, aan de gesloten centra, aan de woonunits of aan de rechtspersonen, houden deze </w:t>
            </w:r>
            <w:proofErr w:type="spellStart"/>
            <w:r w:rsidRPr="009A1FA3">
              <w:rPr>
                <w:rFonts w:ascii="Calibri" w:hAnsi="Calibri" w:cs="Calibri"/>
                <w:sz w:val="22"/>
              </w:rPr>
              <w:t>OGP’s</w:t>
            </w:r>
            <w:proofErr w:type="spellEnd"/>
            <w:r w:rsidRPr="009A1FA3">
              <w:rPr>
                <w:rFonts w:ascii="Calibri" w:hAnsi="Calibri" w:cs="Calibri"/>
                <w:sz w:val="22"/>
              </w:rPr>
              <w:t xml:space="preserve"> een inventaris van die verzoeken bij het BIPT bij. In dat opzicht is het nuttig eraan te herinneren dat volgens paragraaf 5 van artikel 25 de </w:t>
            </w:r>
            <w:r w:rsidR="00AD32FE">
              <w:rPr>
                <w:rFonts w:ascii="Calibri" w:hAnsi="Calibri" w:cs="Calibri"/>
                <w:sz w:val="22"/>
              </w:rPr>
              <w:t>officieren</w:t>
            </w:r>
            <w:r w:rsidRPr="009A1FA3">
              <w:rPr>
                <w:rFonts w:ascii="Calibri" w:hAnsi="Calibri" w:cs="Calibri"/>
                <w:sz w:val="22"/>
              </w:rPr>
              <w:t xml:space="preserve"> van gerechtelijke politie van het Instituut onder het toezicht van de procureur-generaal staan</w:t>
            </w:r>
            <w:r w:rsidRPr="009A1FA3">
              <w:rPr>
                <w:rFonts w:ascii="Calibri" w:hAnsi="Calibri" w:cs="Calibri"/>
                <w:color w:val="000000" w:themeColor="text1"/>
                <w:sz w:val="22"/>
              </w:rPr>
              <w:t>.</w:t>
            </w:r>
          </w:p>
        </w:tc>
      </w:tr>
      <w:tr w:rsidR="009A1FA3" w:rsidRPr="00DC0BDD" w14:paraId="6C13E2C7" w14:textId="77777777" w:rsidTr="0025113D">
        <w:tc>
          <w:tcPr>
            <w:tcW w:w="4508" w:type="dxa"/>
          </w:tcPr>
          <w:p w14:paraId="4814FA6E" w14:textId="77777777" w:rsidR="009A1FA3" w:rsidRPr="003A24C7" w:rsidRDefault="009A1FA3" w:rsidP="009A1FA3">
            <w:pPr>
              <w:jc w:val="both"/>
              <w:rPr>
                <w:rFonts w:ascii="Calibri" w:hAnsi="Calibri" w:cs="Calibri"/>
                <w:sz w:val="22"/>
              </w:rPr>
            </w:pPr>
          </w:p>
        </w:tc>
        <w:tc>
          <w:tcPr>
            <w:tcW w:w="4508" w:type="dxa"/>
          </w:tcPr>
          <w:p w14:paraId="67D83270" w14:textId="77777777" w:rsidR="009A1FA3" w:rsidRPr="009A1FA3" w:rsidRDefault="009A1FA3" w:rsidP="009A1FA3">
            <w:pPr>
              <w:jc w:val="both"/>
              <w:rPr>
                <w:rFonts w:ascii="Calibri" w:hAnsi="Calibri" w:cs="Calibri"/>
                <w:sz w:val="22"/>
              </w:rPr>
            </w:pPr>
          </w:p>
        </w:tc>
      </w:tr>
      <w:tr w:rsidR="009A1FA3" w:rsidRPr="00DC0BDD" w14:paraId="3FF6B4E7" w14:textId="77777777" w:rsidTr="0025113D">
        <w:tc>
          <w:tcPr>
            <w:tcW w:w="4508" w:type="dxa"/>
          </w:tcPr>
          <w:p w14:paraId="2B15D519" w14:textId="0FD5C165" w:rsidR="009A1FA3" w:rsidRPr="009A1FA3" w:rsidRDefault="009A1FA3" w:rsidP="009A1FA3">
            <w:pPr>
              <w:jc w:val="both"/>
              <w:rPr>
                <w:rFonts w:ascii="Calibri" w:hAnsi="Calibri" w:cs="Calibri"/>
                <w:sz w:val="22"/>
              </w:rPr>
            </w:pPr>
            <w:r w:rsidRPr="009A1FA3">
              <w:rPr>
                <w:rFonts w:ascii="Calibri" w:hAnsi="Calibri" w:cs="Calibri"/>
                <w:sz w:val="22"/>
                <w:lang w:val="fr-BE"/>
              </w:rPr>
              <w:t xml:space="preserve">Dans le cadre des paragraphes 1 et 2, la motivation de la demande est communiquée à l’OPJ de l’IBPT qui est chargé du contrôle des demandes ou au juge d’instruction mais pas à l’opérateur. Cela s’explique par le fait que la motivation de la demande doit être faite in </w:t>
            </w:r>
            <w:proofErr w:type="spellStart"/>
            <w:r w:rsidRPr="009A1FA3">
              <w:rPr>
                <w:rFonts w:ascii="Calibri" w:hAnsi="Calibri" w:cs="Calibri"/>
                <w:sz w:val="22"/>
                <w:lang w:val="fr-BE"/>
              </w:rPr>
              <w:t>concreto</w:t>
            </w:r>
            <w:proofErr w:type="spellEnd"/>
            <w:r w:rsidRPr="009A1FA3">
              <w:rPr>
                <w:rFonts w:ascii="Calibri" w:hAnsi="Calibri" w:cs="Calibri"/>
                <w:sz w:val="22"/>
                <w:lang w:val="fr-BE"/>
              </w:rPr>
              <w:t xml:space="preserve"> et peut comprendre des éléments délicats dont n’a pas à connaître l’opérateur. Cela permet donc de protéger le secret de l’enquête. </w:t>
            </w:r>
          </w:p>
        </w:tc>
        <w:tc>
          <w:tcPr>
            <w:tcW w:w="4508" w:type="dxa"/>
          </w:tcPr>
          <w:p w14:paraId="7F9CDDD2" w14:textId="16690BDC" w:rsidR="009A1FA3" w:rsidRPr="009A1FA3" w:rsidRDefault="009A1FA3" w:rsidP="009A1FA3">
            <w:pPr>
              <w:jc w:val="both"/>
              <w:rPr>
                <w:rFonts w:ascii="Calibri" w:hAnsi="Calibri" w:cs="Calibri"/>
                <w:sz w:val="22"/>
              </w:rPr>
            </w:pPr>
            <w:r w:rsidRPr="009A1FA3">
              <w:rPr>
                <w:rFonts w:ascii="Calibri" w:hAnsi="Calibri" w:cs="Calibri"/>
                <w:sz w:val="22"/>
              </w:rPr>
              <w:t xml:space="preserve">In het kader van de paragrafen 1 en 2 wordt de motivering van het verzoek meegedeeld aan de OGP van het BIPT die belast is met de controle van de verzoeken ofwel aan de onderzoeksrechter, maar niet aan de operator. De verklaring daarvoor is dat de motivering van het verzoek in </w:t>
            </w:r>
            <w:proofErr w:type="spellStart"/>
            <w:r w:rsidRPr="009A1FA3">
              <w:rPr>
                <w:rFonts w:ascii="Calibri" w:hAnsi="Calibri" w:cs="Calibri"/>
                <w:sz w:val="22"/>
              </w:rPr>
              <w:t>concreto</w:t>
            </w:r>
            <w:proofErr w:type="spellEnd"/>
            <w:r w:rsidRPr="009A1FA3">
              <w:rPr>
                <w:rFonts w:ascii="Calibri" w:hAnsi="Calibri" w:cs="Calibri"/>
                <w:sz w:val="22"/>
              </w:rPr>
              <w:t xml:space="preserve"> moet gebeuren en gevoelige elementen kan bevatten waarvan de operator geen weet moet hebben. Daardoor kan het geheim van het onderzoek beschermd worden. </w:t>
            </w:r>
          </w:p>
        </w:tc>
      </w:tr>
      <w:tr w:rsidR="009A1FA3" w:rsidRPr="00DC0BDD" w14:paraId="429B2124" w14:textId="77777777" w:rsidTr="0025113D">
        <w:tc>
          <w:tcPr>
            <w:tcW w:w="4508" w:type="dxa"/>
          </w:tcPr>
          <w:p w14:paraId="252A9E55" w14:textId="77777777" w:rsidR="009A1FA3" w:rsidRPr="009A1FA3" w:rsidRDefault="009A1FA3" w:rsidP="009A1FA3">
            <w:pPr>
              <w:jc w:val="both"/>
              <w:rPr>
                <w:rFonts w:ascii="Calibri" w:hAnsi="Calibri" w:cs="Calibri"/>
                <w:sz w:val="22"/>
                <w:lang w:val="fr-BE"/>
              </w:rPr>
            </w:pPr>
          </w:p>
        </w:tc>
        <w:tc>
          <w:tcPr>
            <w:tcW w:w="4508" w:type="dxa"/>
          </w:tcPr>
          <w:p w14:paraId="6F08E08B" w14:textId="77777777" w:rsidR="009A1FA3" w:rsidRPr="009A1FA3" w:rsidRDefault="009A1FA3" w:rsidP="009A1FA3">
            <w:pPr>
              <w:jc w:val="both"/>
              <w:rPr>
                <w:rFonts w:ascii="Calibri" w:hAnsi="Calibri" w:cs="Calibri"/>
                <w:sz w:val="22"/>
              </w:rPr>
            </w:pPr>
          </w:p>
        </w:tc>
      </w:tr>
      <w:tr w:rsidR="009A1FA3" w:rsidRPr="00DC0BDD" w14:paraId="04353B0A" w14:textId="77777777" w:rsidTr="0025113D">
        <w:tc>
          <w:tcPr>
            <w:tcW w:w="4508" w:type="dxa"/>
          </w:tcPr>
          <w:p w14:paraId="7686E63E" w14:textId="56F8AFAE" w:rsidR="009A1FA3" w:rsidRPr="009A1FA3" w:rsidRDefault="009A1FA3" w:rsidP="009A1FA3">
            <w:pPr>
              <w:jc w:val="both"/>
              <w:rPr>
                <w:rFonts w:ascii="Calibri" w:hAnsi="Calibri" w:cs="Calibri"/>
                <w:sz w:val="22"/>
                <w:lang w:val="fr-BE"/>
              </w:rPr>
            </w:pPr>
            <w:r w:rsidRPr="009A1FA3">
              <w:rPr>
                <w:rFonts w:ascii="Calibri" w:hAnsi="Calibri" w:cs="Calibri"/>
                <w:sz w:val="22"/>
                <w:lang w:val="fr-BE"/>
              </w:rPr>
              <w:t xml:space="preserve">Le registre comprend les demandes internes et externes. Les demandes internes sont les demandes envers l’OPJ de l’IBPT qui est chargé de contrôler les demandes ou le juge d’instruction (demande avec la motivation). Les demandes externes sont les demandes adressées aux opérateurs et aux autres acteurs concernés. </w:t>
            </w:r>
          </w:p>
        </w:tc>
        <w:tc>
          <w:tcPr>
            <w:tcW w:w="4508" w:type="dxa"/>
          </w:tcPr>
          <w:p w14:paraId="303BE10B" w14:textId="1D78839D" w:rsidR="009A1FA3" w:rsidRPr="009A1FA3" w:rsidRDefault="009A1FA3" w:rsidP="009A1FA3">
            <w:pPr>
              <w:jc w:val="both"/>
              <w:rPr>
                <w:rFonts w:ascii="Calibri" w:hAnsi="Calibri" w:cs="Calibri"/>
                <w:sz w:val="22"/>
              </w:rPr>
            </w:pPr>
            <w:r w:rsidRPr="009A1FA3">
              <w:rPr>
                <w:rFonts w:ascii="Calibri" w:hAnsi="Calibri" w:cs="Calibri"/>
                <w:sz w:val="22"/>
              </w:rPr>
              <w:t xml:space="preserve">De inventaris bevat de interne en externe verzoeken. Interne verzoeken zijn verzoeken aan de OGP van het BIPT die belast is met de controle van de verzoeken ofwel aan de onderzoeksrechter (verzoek samen met de motivering). Externe verzoeken zijn verzoeken die gericht zijn aan de operatoren en aan de andere betrokken spelers. </w:t>
            </w:r>
          </w:p>
        </w:tc>
      </w:tr>
      <w:tr w:rsidR="009A1FA3" w:rsidRPr="00DC0BDD" w14:paraId="5FF916E9" w14:textId="77777777" w:rsidTr="0025113D">
        <w:tc>
          <w:tcPr>
            <w:tcW w:w="4508" w:type="dxa"/>
          </w:tcPr>
          <w:p w14:paraId="0926B286" w14:textId="77777777" w:rsidR="009A1FA3" w:rsidRPr="00DC0BDD" w:rsidRDefault="009A1FA3" w:rsidP="009A1FA3">
            <w:pPr>
              <w:jc w:val="both"/>
              <w:rPr>
                <w:rFonts w:asciiTheme="minorHAnsi" w:hAnsiTheme="minorHAnsi" w:cstheme="minorHAnsi"/>
                <w:sz w:val="22"/>
              </w:rPr>
            </w:pPr>
          </w:p>
        </w:tc>
        <w:tc>
          <w:tcPr>
            <w:tcW w:w="4508" w:type="dxa"/>
          </w:tcPr>
          <w:p w14:paraId="2C9B6186" w14:textId="77777777" w:rsidR="009A1FA3" w:rsidRPr="00DC0BDD" w:rsidRDefault="009A1FA3" w:rsidP="009A1FA3">
            <w:pPr>
              <w:jc w:val="both"/>
              <w:rPr>
                <w:rFonts w:asciiTheme="minorHAnsi" w:hAnsiTheme="minorHAnsi" w:cstheme="minorHAnsi"/>
                <w:sz w:val="22"/>
              </w:rPr>
            </w:pPr>
          </w:p>
        </w:tc>
      </w:tr>
      <w:tr w:rsidR="009A1FA3" w:rsidRPr="00DC0BDD" w14:paraId="6FAFD596" w14:textId="77777777" w:rsidTr="0025113D">
        <w:tc>
          <w:tcPr>
            <w:tcW w:w="4508" w:type="dxa"/>
          </w:tcPr>
          <w:p w14:paraId="71F0E28D" w14:textId="2510FBCC" w:rsidR="009A1FA3" w:rsidRPr="009A1FA3" w:rsidRDefault="009A1FA3" w:rsidP="009A1FA3">
            <w:pPr>
              <w:jc w:val="both"/>
              <w:rPr>
                <w:rFonts w:asciiTheme="minorHAnsi" w:hAnsiTheme="minorHAnsi" w:cstheme="minorHAnsi"/>
                <w:sz w:val="22"/>
                <w:lang w:val="fr-BE"/>
              </w:rPr>
            </w:pPr>
            <w:r w:rsidRPr="009A1FA3">
              <w:rPr>
                <w:rFonts w:asciiTheme="minorHAnsi" w:hAnsiTheme="minorHAnsi" w:cstheme="minorHAnsi"/>
                <w:b/>
                <w:sz w:val="22"/>
                <w:u w:val="single"/>
                <w:lang w:val="fr-BE"/>
              </w:rPr>
              <w:t xml:space="preserve">Information de la personne concernée </w:t>
            </w:r>
          </w:p>
        </w:tc>
        <w:tc>
          <w:tcPr>
            <w:tcW w:w="4508" w:type="dxa"/>
          </w:tcPr>
          <w:p w14:paraId="4130295E" w14:textId="179882F9" w:rsidR="009A1FA3" w:rsidRPr="009A1FA3" w:rsidRDefault="009A1FA3" w:rsidP="009A1FA3">
            <w:pPr>
              <w:jc w:val="both"/>
              <w:rPr>
                <w:rFonts w:asciiTheme="minorHAnsi" w:hAnsiTheme="minorHAnsi" w:cstheme="minorHAnsi"/>
                <w:sz w:val="22"/>
              </w:rPr>
            </w:pPr>
            <w:r w:rsidRPr="009A1FA3">
              <w:rPr>
                <w:rFonts w:asciiTheme="minorHAnsi" w:hAnsiTheme="minorHAnsi" w:cstheme="minorHAnsi"/>
                <w:b/>
                <w:sz w:val="22"/>
                <w:u w:val="single"/>
              </w:rPr>
              <w:t xml:space="preserve">Inlichten van de betrokken persoon </w:t>
            </w:r>
          </w:p>
        </w:tc>
      </w:tr>
      <w:tr w:rsidR="009A1FA3" w:rsidRPr="00DC0BDD" w14:paraId="2E4EA6E3" w14:textId="77777777" w:rsidTr="0025113D">
        <w:tc>
          <w:tcPr>
            <w:tcW w:w="4508" w:type="dxa"/>
          </w:tcPr>
          <w:p w14:paraId="65F14DE7" w14:textId="77777777" w:rsidR="009A1FA3" w:rsidRPr="009A1FA3" w:rsidRDefault="009A1FA3" w:rsidP="009A1FA3">
            <w:pPr>
              <w:jc w:val="both"/>
              <w:rPr>
                <w:rFonts w:asciiTheme="minorHAnsi" w:hAnsiTheme="minorHAnsi" w:cstheme="minorHAnsi"/>
                <w:sz w:val="22"/>
              </w:rPr>
            </w:pPr>
          </w:p>
        </w:tc>
        <w:tc>
          <w:tcPr>
            <w:tcW w:w="4508" w:type="dxa"/>
          </w:tcPr>
          <w:p w14:paraId="75468AFB" w14:textId="77777777" w:rsidR="009A1FA3" w:rsidRPr="009A1FA3" w:rsidRDefault="009A1FA3" w:rsidP="009A1FA3">
            <w:pPr>
              <w:jc w:val="both"/>
              <w:rPr>
                <w:rFonts w:asciiTheme="minorHAnsi" w:hAnsiTheme="minorHAnsi" w:cstheme="minorHAnsi"/>
                <w:sz w:val="22"/>
              </w:rPr>
            </w:pPr>
          </w:p>
        </w:tc>
      </w:tr>
      <w:tr w:rsidR="009A1FA3" w:rsidRPr="00DC0BDD" w14:paraId="6F5ADE3A" w14:textId="77777777" w:rsidTr="0025113D">
        <w:tc>
          <w:tcPr>
            <w:tcW w:w="4508" w:type="dxa"/>
          </w:tcPr>
          <w:p w14:paraId="1A6514EE" w14:textId="5F161C57" w:rsidR="009A1FA3" w:rsidRPr="009A1FA3" w:rsidRDefault="009A1FA3" w:rsidP="009A1FA3">
            <w:pPr>
              <w:jc w:val="both"/>
              <w:rPr>
                <w:rFonts w:asciiTheme="minorHAnsi" w:hAnsiTheme="minorHAnsi" w:cstheme="minorHAnsi"/>
                <w:sz w:val="22"/>
                <w:lang w:val="fr-BE"/>
              </w:rPr>
            </w:pPr>
            <w:r w:rsidRPr="009A1FA3">
              <w:rPr>
                <w:rFonts w:asciiTheme="minorHAnsi" w:hAnsiTheme="minorHAnsi" w:cstheme="minorHAnsi"/>
                <w:sz w:val="22"/>
                <w:lang w:val="fr-BE"/>
              </w:rPr>
              <w:t xml:space="preserve">La loi-statut ne prévoit pas une information de la personne concernée dans le cadre des paragraphes 1, 2 et 3 de l’article 25/1 et ce pour les raisons suivantes. Dans le cadre des paragraphes 1 et 2, les OPJ de l’IBPT préparent le dossier pour le parquet et informer la personne concernée pourrait nuire à l’enquête que le parquet peut démarrer sur base des informations que les OPJ de l’IBPT lui fournissent. </w:t>
            </w:r>
            <w:bookmarkStart w:id="26" w:name="_Hlk95719387"/>
            <w:r w:rsidRPr="009A1FA3">
              <w:rPr>
                <w:rFonts w:asciiTheme="minorHAnsi" w:hAnsiTheme="minorHAnsi" w:cstheme="minorHAnsi"/>
                <w:sz w:val="22"/>
                <w:lang w:val="fr-BE"/>
              </w:rPr>
              <w:t xml:space="preserve">L’information de la personne concernée se fera donc conformément aux règles du Code d’instruction criminelle. </w:t>
            </w:r>
            <w:bookmarkEnd w:id="26"/>
          </w:p>
        </w:tc>
        <w:tc>
          <w:tcPr>
            <w:tcW w:w="4508" w:type="dxa"/>
          </w:tcPr>
          <w:p w14:paraId="32E0A65C" w14:textId="6E4A29AB" w:rsidR="009A1FA3" w:rsidRPr="009A1FA3" w:rsidRDefault="009A1FA3" w:rsidP="009A1FA3">
            <w:pPr>
              <w:jc w:val="both"/>
              <w:rPr>
                <w:rFonts w:asciiTheme="minorHAnsi" w:hAnsiTheme="minorHAnsi" w:cstheme="minorHAnsi"/>
                <w:sz w:val="22"/>
              </w:rPr>
            </w:pPr>
            <w:r w:rsidRPr="009A1FA3">
              <w:rPr>
                <w:rFonts w:asciiTheme="minorHAnsi" w:hAnsiTheme="minorHAnsi" w:cstheme="minorHAnsi"/>
                <w:sz w:val="22"/>
              </w:rPr>
              <w:t xml:space="preserve">De statuutwet schrijft niet voor dat de betrokken persoon ingelicht moet worden in het kader van de paragrafen 1, 2 en 3 van artikel 25/1 en dat om de volgende redenen. In het kader van de paragrafen 1 en 2 bereiden de </w:t>
            </w:r>
            <w:proofErr w:type="spellStart"/>
            <w:r w:rsidRPr="009A1FA3">
              <w:rPr>
                <w:rFonts w:asciiTheme="minorHAnsi" w:hAnsiTheme="minorHAnsi" w:cstheme="minorHAnsi"/>
                <w:sz w:val="22"/>
              </w:rPr>
              <w:t>OGP’s</w:t>
            </w:r>
            <w:proofErr w:type="spellEnd"/>
            <w:r w:rsidRPr="009A1FA3">
              <w:rPr>
                <w:rFonts w:asciiTheme="minorHAnsi" w:hAnsiTheme="minorHAnsi" w:cstheme="minorHAnsi"/>
                <w:sz w:val="22"/>
              </w:rPr>
              <w:t xml:space="preserve"> van het BIPT het dossier voor het parket voor en de betrokken persoon inlichten zou het onderzoek kunnen schaden dat het parket kan starten op basis van de informatie die de </w:t>
            </w:r>
            <w:proofErr w:type="spellStart"/>
            <w:r w:rsidRPr="009A1FA3">
              <w:rPr>
                <w:rFonts w:asciiTheme="minorHAnsi" w:hAnsiTheme="minorHAnsi" w:cstheme="minorHAnsi"/>
                <w:sz w:val="22"/>
              </w:rPr>
              <w:t>OGP’s</w:t>
            </w:r>
            <w:proofErr w:type="spellEnd"/>
            <w:r w:rsidRPr="009A1FA3">
              <w:rPr>
                <w:rFonts w:asciiTheme="minorHAnsi" w:hAnsiTheme="minorHAnsi" w:cstheme="minorHAnsi"/>
                <w:sz w:val="22"/>
              </w:rPr>
              <w:t xml:space="preserve"> van het BIPT eraan verstrekken. De betrokken persoon zal dus worden ingelicht overeenkomstig de regels van het Wetboek van Strafvordering. </w:t>
            </w:r>
          </w:p>
        </w:tc>
      </w:tr>
      <w:tr w:rsidR="009A1FA3" w:rsidRPr="00DC0BDD" w14:paraId="497C74BC" w14:textId="77777777" w:rsidTr="0025113D">
        <w:tc>
          <w:tcPr>
            <w:tcW w:w="4508" w:type="dxa"/>
          </w:tcPr>
          <w:p w14:paraId="488F72DF" w14:textId="77777777" w:rsidR="009A1FA3" w:rsidRPr="003A24C7" w:rsidRDefault="009A1FA3" w:rsidP="009A1FA3">
            <w:pPr>
              <w:jc w:val="both"/>
              <w:rPr>
                <w:rFonts w:asciiTheme="minorHAnsi" w:hAnsiTheme="minorHAnsi" w:cstheme="minorHAnsi"/>
                <w:sz w:val="22"/>
              </w:rPr>
            </w:pPr>
          </w:p>
        </w:tc>
        <w:tc>
          <w:tcPr>
            <w:tcW w:w="4508" w:type="dxa"/>
          </w:tcPr>
          <w:p w14:paraId="4236C04F" w14:textId="77777777" w:rsidR="009A1FA3" w:rsidRPr="009A1FA3" w:rsidRDefault="009A1FA3" w:rsidP="009A1FA3">
            <w:pPr>
              <w:jc w:val="both"/>
              <w:rPr>
                <w:rFonts w:asciiTheme="minorHAnsi" w:hAnsiTheme="minorHAnsi" w:cstheme="minorHAnsi"/>
                <w:sz w:val="22"/>
              </w:rPr>
            </w:pPr>
          </w:p>
        </w:tc>
      </w:tr>
      <w:tr w:rsidR="009A1FA3" w:rsidRPr="00DC0BDD" w14:paraId="47F1B668" w14:textId="77777777" w:rsidTr="0025113D">
        <w:tc>
          <w:tcPr>
            <w:tcW w:w="4508" w:type="dxa"/>
          </w:tcPr>
          <w:p w14:paraId="0C0C49DD" w14:textId="264F0959" w:rsidR="009A1FA3" w:rsidRPr="009A1FA3" w:rsidRDefault="009A1FA3" w:rsidP="009A1FA3">
            <w:pPr>
              <w:jc w:val="both"/>
              <w:rPr>
                <w:rFonts w:asciiTheme="minorHAnsi" w:hAnsiTheme="minorHAnsi" w:cstheme="minorHAnsi"/>
                <w:sz w:val="22"/>
                <w:lang w:val="fr-BE"/>
              </w:rPr>
            </w:pPr>
            <w:r w:rsidRPr="009A1FA3">
              <w:rPr>
                <w:rFonts w:asciiTheme="minorHAnsi" w:hAnsiTheme="minorHAnsi" w:cstheme="minorHAnsi"/>
                <w:sz w:val="22"/>
                <w:lang w:val="fr-BE"/>
              </w:rPr>
              <w:t xml:space="preserve">L’information de la personne concernée dans le cadre du paragraphe 3 de l’article 25/1 serait très lourd à mettre en place, dès lors qu’un contrôle d’une base de données peut aboutir à un contrôle de (plusieurs) milliers d’enregistrements dans cette base de données. Vu que le contrôle porte sur l’opérateur et non pas sur les personnes dont les données se trouvent dans la base de données, informer ces personnes concernées risqueraient de créer de la confusion auprès de ces dernières et n’auraient pas de plus-value pour ces dernières. </w:t>
            </w:r>
          </w:p>
        </w:tc>
        <w:tc>
          <w:tcPr>
            <w:tcW w:w="4508" w:type="dxa"/>
          </w:tcPr>
          <w:p w14:paraId="4E7A6140" w14:textId="1FB49D1E" w:rsidR="009A1FA3" w:rsidRPr="009A1FA3" w:rsidRDefault="009A1FA3" w:rsidP="009A1FA3">
            <w:pPr>
              <w:jc w:val="both"/>
              <w:rPr>
                <w:rFonts w:asciiTheme="minorHAnsi" w:hAnsiTheme="minorHAnsi" w:cstheme="minorHAnsi"/>
                <w:sz w:val="22"/>
              </w:rPr>
            </w:pPr>
            <w:r w:rsidRPr="009A1FA3">
              <w:rPr>
                <w:rFonts w:asciiTheme="minorHAnsi" w:hAnsiTheme="minorHAnsi" w:cstheme="minorHAnsi"/>
                <w:sz w:val="22"/>
              </w:rPr>
              <w:t xml:space="preserve">Het inlichten van de betrokken persoon in het kader van paragraaf 3 van artikel 25/1 zou heel zwaar zijn om in te voeren, omdat een controle van een databank kan uitmonden in een controle van (ettelijke) duizenden registraties in deze databank. Doordat de controle betrekking heeft op de operator en niet op de personen van wie de gegevens zich in de databank bevinden, zou die betrokken personen inlichten het risico inhouden dat die laatsten in verwarring worden gebracht en dat zou voor hen geen meerwaarde hebben. </w:t>
            </w:r>
          </w:p>
        </w:tc>
      </w:tr>
      <w:tr w:rsidR="009A1FA3" w:rsidRPr="00DC0BDD" w14:paraId="0CF3608F" w14:textId="77777777" w:rsidTr="0025113D">
        <w:tc>
          <w:tcPr>
            <w:tcW w:w="4508" w:type="dxa"/>
          </w:tcPr>
          <w:p w14:paraId="1EEF8BAD" w14:textId="77777777" w:rsidR="009A1FA3" w:rsidRPr="009A1FA3" w:rsidRDefault="009A1FA3" w:rsidP="009A1FA3">
            <w:pPr>
              <w:jc w:val="both"/>
              <w:rPr>
                <w:rFonts w:asciiTheme="minorHAnsi" w:hAnsiTheme="minorHAnsi" w:cstheme="minorHAnsi"/>
                <w:sz w:val="22"/>
              </w:rPr>
            </w:pPr>
          </w:p>
        </w:tc>
        <w:tc>
          <w:tcPr>
            <w:tcW w:w="4508" w:type="dxa"/>
          </w:tcPr>
          <w:p w14:paraId="66CE21CB" w14:textId="77777777" w:rsidR="009A1FA3" w:rsidRPr="009A1FA3" w:rsidRDefault="009A1FA3" w:rsidP="009A1FA3">
            <w:pPr>
              <w:jc w:val="both"/>
              <w:rPr>
                <w:rFonts w:asciiTheme="minorHAnsi" w:hAnsiTheme="minorHAnsi" w:cstheme="minorHAnsi"/>
                <w:sz w:val="22"/>
              </w:rPr>
            </w:pPr>
          </w:p>
        </w:tc>
      </w:tr>
      <w:tr w:rsidR="009A1FA3" w:rsidRPr="00DC0BDD" w14:paraId="6579CD57" w14:textId="77777777" w:rsidTr="0025113D">
        <w:tc>
          <w:tcPr>
            <w:tcW w:w="4508" w:type="dxa"/>
          </w:tcPr>
          <w:p w14:paraId="33D209B6" w14:textId="48D6CA0D" w:rsidR="009A1FA3" w:rsidRPr="009A1FA3" w:rsidRDefault="009A1FA3" w:rsidP="009A1FA3">
            <w:pPr>
              <w:jc w:val="both"/>
              <w:rPr>
                <w:rFonts w:asciiTheme="minorHAnsi" w:hAnsiTheme="minorHAnsi" w:cstheme="minorHAnsi"/>
                <w:sz w:val="22"/>
                <w:lang w:val="fr-BE"/>
              </w:rPr>
            </w:pPr>
            <w:bookmarkStart w:id="27" w:name="_Hlk96426738"/>
            <w:r w:rsidRPr="009A1FA3">
              <w:rPr>
                <w:rFonts w:asciiTheme="minorHAnsi" w:hAnsiTheme="minorHAnsi" w:cstheme="minorHAnsi"/>
                <w:sz w:val="22"/>
                <w:lang w:val="fr-BE"/>
              </w:rPr>
              <w:t>En outre, comme indiqué précédemment quant à l’article 15, le RGPD permet de déroger au droit de la personne concernée d’être informée de chaque traitement de ses données à caractère personnel lorsque les moyens qui devraient être déployés par le responsable du traitement pour informer la personne concernée du traitement seraient disproportionnés.</w:t>
            </w:r>
            <w:bookmarkEnd w:id="27"/>
          </w:p>
        </w:tc>
        <w:tc>
          <w:tcPr>
            <w:tcW w:w="4508" w:type="dxa"/>
          </w:tcPr>
          <w:p w14:paraId="1BCB68A2" w14:textId="73123826" w:rsidR="009A1FA3" w:rsidRPr="009A1FA3" w:rsidRDefault="009A1FA3" w:rsidP="009A1FA3">
            <w:pPr>
              <w:jc w:val="both"/>
              <w:rPr>
                <w:rFonts w:asciiTheme="minorHAnsi" w:hAnsiTheme="minorHAnsi" w:cstheme="minorHAnsi"/>
                <w:sz w:val="22"/>
              </w:rPr>
            </w:pPr>
            <w:r w:rsidRPr="009A1FA3">
              <w:rPr>
                <w:rFonts w:asciiTheme="minorHAnsi" w:hAnsiTheme="minorHAnsi" w:cstheme="minorHAnsi"/>
                <w:sz w:val="22"/>
              </w:rPr>
              <w:t>Bovendien, zoals eerder al aangegeven in verband met artikel 15, staat de AVG het toe om af te wijken van het recht van de betrokken persoon om te worden ingelicht over elke verwerking van zijn persoonsgegevens wanneer de middelen die de verwerkingsverantwoordelijke zou moeten inzetten om de betrokken persoon in te lichten over de verwerking, onevenredig zouden zijn.</w:t>
            </w:r>
          </w:p>
        </w:tc>
      </w:tr>
      <w:tr w:rsidR="009A1FA3" w:rsidRPr="00DC0BDD" w14:paraId="716DB50B" w14:textId="77777777" w:rsidTr="0025113D">
        <w:tc>
          <w:tcPr>
            <w:tcW w:w="4508" w:type="dxa"/>
          </w:tcPr>
          <w:p w14:paraId="0CC76F2E" w14:textId="77777777" w:rsidR="009A1FA3" w:rsidRPr="00DC0BDD" w:rsidRDefault="009A1FA3" w:rsidP="009A1FA3">
            <w:pPr>
              <w:jc w:val="both"/>
              <w:rPr>
                <w:rFonts w:asciiTheme="minorHAnsi" w:hAnsiTheme="minorHAnsi" w:cstheme="minorHAnsi"/>
                <w:sz w:val="22"/>
              </w:rPr>
            </w:pPr>
          </w:p>
        </w:tc>
        <w:tc>
          <w:tcPr>
            <w:tcW w:w="4508" w:type="dxa"/>
          </w:tcPr>
          <w:p w14:paraId="5A00F2C1" w14:textId="77777777" w:rsidR="009A1FA3" w:rsidRPr="00DC0BDD" w:rsidRDefault="009A1FA3" w:rsidP="009A1FA3">
            <w:pPr>
              <w:jc w:val="both"/>
              <w:rPr>
                <w:rFonts w:asciiTheme="minorHAnsi" w:hAnsiTheme="minorHAnsi" w:cstheme="minorHAnsi"/>
                <w:sz w:val="22"/>
              </w:rPr>
            </w:pPr>
          </w:p>
        </w:tc>
      </w:tr>
    </w:tbl>
    <w:p w14:paraId="3286A9FF" w14:textId="77777777" w:rsidR="00A907E6" w:rsidRPr="00DC0BDD" w:rsidRDefault="00A907E6" w:rsidP="00270C6B">
      <w:pPr>
        <w:rPr>
          <w:rFonts w:asciiTheme="minorHAnsi" w:hAnsiTheme="minorHAnsi" w:cstheme="minorHAnsi"/>
          <w:sz w:val="22"/>
        </w:rPr>
      </w:pPr>
    </w:p>
    <w:sectPr w:rsidR="00A907E6" w:rsidRPr="00DC0BDD">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A6550" w14:textId="77777777" w:rsidR="00516CCD" w:rsidRDefault="00516CCD" w:rsidP="008B372C">
      <w:pPr>
        <w:spacing w:after="0" w:line="240" w:lineRule="auto"/>
      </w:pPr>
      <w:r>
        <w:separator/>
      </w:r>
    </w:p>
  </w:endnote>
  <w:endnote w:type="continuationSeparator" w:id="0">
    <w:p w14:paraId="78ADA668" w14:textId="77777777" w:rsidR="00516CCD" w:rsidRDefault="00516CCD" w:rsidP="008B3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519976"/>
      <w:docPartObj>
        <w:docPartGallery w:val="Page Numbers (Bottom of Page)"/>
        <w:docPartUnique/>
      </w:docPartObj>
    </w:sdtPr>
    <w:sdtEndPr/>
    <w:sdtContent>
      <w:p w14:paraId="62893934" w14:textId="239C6E8E" w:rsidR="00516CCD" w:rsidRDefault="00516CCD">
        <w:pPr>
          <w:pStyle w:val="Voettekst"/>
          <w:jc w:val="center"/>
        </w:pPr>
        <w:r>
          <w:fldChar w:fldCharType="begin"/>
        </w:r>
        <w:r>
          <w:instrText>PAGE   \* MERGEFORMAT</w:instrText>
        </w:r>
        <w:r>
          <w:fldChar w:fldCharType="separate"/>
        </w:r>
        <w:r w:rsidR="00800E7F" w:rsidRPr="00800E7F">
          <w:rPr>
            <w:noProof/>
            <w:lang w:val="nl-NL"/>
          </w:rPr>
          <w:t>27</w:t>
        </w:r>
        <w:r>
          <w:fldChar w:fldCharType="end"/>
        </w:r>
      </w:p>
    </w:sdtContent>
  </w:sdt>
  <w:p w14:paraId="4FC2F3C4" w14:textId="77777777" w:rsidR="00516CCD" w:rsidRDefault="00516C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4C471" w14:textId="77777777" w:rsidR="00516CCD" w:rsidRDefault="00516CCD" w:rsidP="008B372C">
      <w:pPr>
        <w:spacing w:after="0" w:line="240" w:lineRule="auto"/>
      </w:pPr>
      <w:r>
        <w:separator/>
      </w:r>
    </w:p>
  </w:footnote>
  <w:footnote w:type="continuationSeparator" w:id="0">
    <w:p w14:paraId="267CE6CD" w14:textId="77777777" w:rsidR="00516CCD" w:rsidRDefault="00516CCD" w:rsidP="008B37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157F"/>
    <w:multiLevelType w:val="hybridMultilevel"/>
    <w:tmpl w:val="8AE4F120"/>
    <w:lvl w:ilvl="0" w:tplc="119259CE">
      <w:start w:val="10"/>
      <w:numFmt w:val="bullet"/>
      <w:lvlText w:val="-"/>
      <w:lvlJc w:val="left"/>
      <w:pPr>
        <w:ind w:left="720" w:hanging="360"/>
      </w:pPr>
      <w:rPr>
        <w:rFonts w:ascii="Calibri" w:eastAsiaTheme="minorHAnsi" w:hAnsi="Calibri" w:cs="Calibri" w:hint="default"/>
        <w:color w:val="000000" w:themeColor="text1"/>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33B6061B"/>
    <w:multiLevelType w:val="hybridMultilevel"/>
    <w:tmpl w:val="9986239A"/>
    <w:lvl w:ilvl="0" w:tplc="1BE0D33E">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7DB12E5"/>
    <w:multiLevelType w:val="hybridMultilevel"/>
    <w:tmpl w:val="AFBC66DC"/>
    <w:lvl w:ilvl="0" w:tplc="87CE606E">
      <w:start w:val="2"/>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39F77288"/>
    <w:multiLevelType w:val="hybridMultilevel"/>
    <w:tmpl w:val="2854685E"/>
    <w:lvl w:ilvl="0" w:tplc="12D4CC1C">
      <w:start w:val="1"/>
      <w:numFmt w:val="bullet"/>
      <w:lvlText w:val="-"/>
      <w:lvlJc w:val="left"/>
      <w:pPr>
        <w:ind w:left="360" w:hanging="360"/>
      </w:pPr>
      <w:rPr>
        <w:rFonts w:ascii="Tahoma" w:eastAsia="Calibri" w:hAnsi="Tahoma" w:cs="Tahoma" w:hint="default"/>
      </w:rPr>
    </w:lvl>
    <w:lvl w:ilvl="1" w:tplc="080C0019">
      <w:start w:val="1"/>
      <w:numFmt w:val="lowerLetter"/>
      <w:lvlText w:val="%2."/>
      <w:lvlJc w:val="left"/>
      <w:pPr>
        <w:ind w:left="1080" w:hanging="360"/>
      </w:pPr>
    </w:lvl>
    <w:lvl w:ilvl="2" w:tplc="080C001B">
      <w:start w:val="1"/>
      <w:numFmt w:val="lowerRoman"/>
      <w:lvlText w:val="%3."/>
      <w:lvlJc w:val="right"/>
      <w:pPr>
        <w:ind w:left="1800" w:hanging="180"/>
      </w:pPr>
    </w:lvl>
    <w:lvl w:ilvl="3" w:tplc="A502A914">
      <w:start w:val="3"/>
      <w:numFmt w:val="bullet"/>
      <w:lvlText w:val="-"/>
      <w:lvlJc w:val="left"/>
      <w:pPr>
        <w:ind w:left="2520" w:hanging="360"/>
      </w:pPr>
      <w:rPr>
        <w:rFonts w:ascii="Tahoma" w:eastAsiaTheme="minorEastAsia" w:hAnsi="Tahoma" w:cs="Tahoma" w:hint="default"/>
      </w:r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4" w15:restartNumberingAfterBreak="0">
    <w:nsid w:val="4A9D27FB"/>
    <w:multiLevelType w:val="hybridMultilevel"/>
    <w:tmpl w:val="A61637E4"/>
    <w:lvl w:ilvl="0" w:tplc="D34A49F4">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5CA032B5"/>
    <w:multiLevelType w:val="hybridMultilevel"/>
    <w:tmpl w:val="FD0446CA"/>
    <w:lvl w:ilvl="0" w:tplc="11EE2FFA">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60A96E2A"/>
    <w:multiLevelType w:val="hybridMultilevel"/>
    <w:tmpl w:val="22403336"/>
    <w:lvl w:ilvl="0" w:tplc="887C7504">
      <w:start w:val="1"/>
      <w:numFmt w:val="bullet"/>
      <w:lvlText w:val="-"/>
      <w:lvlJc w:val="left"/>
      <w:pPr>
        <w:ind w:left="720" w:hanging="360"/>
      </w:pPr>
      <w:rPr>
        <w:rFonts w:ascii="Arial"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7DCE23C0"/>
    <w:multiLevelType w:val="hybridMultilevel"/>
    <w:tmpl w:val="1B7E3AF4"/>
    <w:lvl w:ilvl="0" w:tplc="BF20CBCE">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4"/>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13D"/>
    <w:rsid w:val="00003C67"/>
    <w:rsid w:val="000129CC"/>
    <w:rsid w:val="00026FED"/>
    <w:rsid w:val="00037235"/>
    <w:rsid w:val="00045340"/>
    <w:rsid w:val="00045A81"/>
    <w:rsid w:val="00075722"/>
    <w:rsid w:val="00086AD8"/>
    <w:rsid w:val="000B3975"/>
    <w:rsid w:val="000F35C0"/>
    <w:rsid w:val="001075A2"/>
    <w:rsid w:val="00132B82"/>
    <w:rsid w:val="00136EDB"/>
    <w:rsid w:val="0014723C"/>
    <w:rsid w:val="00194F2C"/>
    <w:rsid w:val="001C2ED0"/>
    <w:rsid w:val="001C2FB8"/>
    <w:rsid w:val="00205E14"/>
    <w:rsid w:val="00214C78"/>
    <w:rsid w:val="00215790"/>
    <w:rsid w:val="00223DEB"/>
    <w:rsid w:val="002275AE"/>
    <w:rsid w:val="002414D3"/>
    <w:rsid w:val="0025113D"/>
    <w:rsid w:val="00267689"/>
    <w:rsid w:val="00270C6B"/>
    <w:rsid w:val="00294B75"/>
    <w:rsid w:val="002C3924"/>
    <w:rsid w:val="002D4DB7"/>
    <w:rsid w:val="002E12F5"/>
    <w:rsid w:val="002E22C7"/>
    <w:rsid w:val="002F64C6"/>
    <w:rsid w:val="00303A31"/>
    <w:rsid w:val="00311A19"/>
    <w:rsid w:val="00326DA4"/>
    <w:rsid w:val="0033133C"/>
    <w:rsid w:val="0033698A"/>
    <w:rsid w:val="00390DA1"/>
    <w:rsid w:val="0039499B"/>
    <w:rsid w:val="003A1B2B"/>
    <w:rsid w:val="003A24C7"/>
    <w:rsid w:val="003B1E56"/>
    <w:rsid w:val="003C2450"/>
    <w:rsid w:val="003C512A"/>
    <w:rsid w:val="003D3B28"/>
    <w:rsid w:val="003E0EDF"/>
    <w:rsid w:val="0042084E"/>
    <w:rsid w:val="00450454"/>
    <w:rsid w:val="004600D3"/>
    <w:rsid w:val="00462D0D"/>
    <w:rsid w:val="00470B40"/>
    <w:rsid w:val="0047256A"/>
    <w:rsid w:val="00474278"/>
    <w:rsid w:val="004844F1"/>
    <w:rsid w:val="00484876"/>
    <w:rsid w:val="0050657B"/>
    <w:rsid w:val="00510B37"/>
    <w:rsid w:val="00516CCD"/>
    <w:rsid w:val="00530AB0"/>
    <w:rsid w:val="00562396"/>
    <w:rsid w:val="005648EB"/>
    <w:rsid w:val="005815E2"/>
    <w:rsid w:val="005A01BC"/>
    <w:rsid w:val="005C321B"/>
    <w:rsid w:val="005C4713"/>
    <w:rsid w:val="005D6E51"/>
    <w:rsid w:val="005F28BA"/>
    <w:rsid w:val="00612B55"/>
    <w:rsid w:val="00621018"/>
    <w:rsid w:val="00622C52"/>
    <w:rsid w:val="006452AE"/>
    <w:rsid w:val="00653D61"/>
    <w:rsid w:val="00673C92"/>
    <w:rsid w:val="00695B8B"/>
    <w:rsid w:val="006A5CAE"/>
    <w:rsid w:val="006E22DB"/>
    <w:rsid w:val="006F79C6"/>
    <w:rsid w:val="0071244B"/>
    <w:rsid w:val="007471E0"/>
    <w:rsid w:val="0075110B"/>
    <w:rsid w:val="007557C3"/>
    <w:rsid w:val="0076391F"/>
    <w:rsid w:val="00792142"/>
    <w:rsid w:val="00793672"/>
    <w:rsid w:val="007A377E"/>
    <w:rsid w:val="007B309D"/>
    <w:rsid w:val="007D08D1"/>
    <w:rsid w:val="007D57D2"/>
    <w:rsid w:val="00800E7F"/>
    <w:rsid w:val="00866F12"/>
    <w:rsid w:val="00867C3E"/>
    <w:rsid w:val="00885843"/>
    <w:rsid w:val="008A24ED"/>
    <w:rsid w:val="008B372C"/>
    <w:rsid w:val="008C1238"/>
    <w:rsid w:val="008D5D24"/>
    <w:rsid w:val="008E6B40"/>
    <w:rsid w:val="00906BE2"/>
    <w:rsid w:val="0091738A"/>
    <w:rsid w:val="00920140"/>
    <w:rsid w:val="00947C96"/>
    <w:rsid w:val="00951308"/>
    <w:rsid w:val="00985531"/>
    <w:rsid w:val="009910AA"/>
    <w:rsid w:val="009A1FA3"/>
    <w:rsid w:val="009E07D7"/>
    <w:rsid w:val="00A03E18"/>
    <w:rsid w:val="00A13922"/>
    <w:rsid w:val="00A13F7A"/>
    <w:rsid w:val="00A30B47"/>
    <w:rsid w:val="00A61847"/>
    <w:rsid w:val="00A715CA"/>
    <w:rsid w:val="00A80C6F"/>
    <w:rsid w:val="00A836EA"/>
    <w:rsid w:val="00A907E6"/>
    <w:rsid w:val="00AD32FE"/>
    <w:rsid w:val="00B13DDD"/>
    <w:rsid w:val="00B250BC"/>
    <w:rsid w:val="00B604AF"/>
    <w:rsid w:val="00BA197B"/>
    <w:rsid w:val="00BA2FFB"/>
    <w:rsid w:val="00BC1135"/>
    <w:rsid w:val="00BC252F"/>
    <w:rsid w:val="00BC4E38"/>
    <w:rsid w:val="00BD5AC5"/>
    <w:rsid w:val="00BE0B48"/>
    <w:rsid w:val="00C0062A"/>
    <w:rsid w:val="00C1019B"/>
    <w:rsid w:val="00C45B34"/>
    <w:rsid w:val="00C5629D"/>
    <w:rsid w:val="00C70A8C"/>
    <w:rsid w:val="00C75F00"/>
    <w:rsid w:val="00C75FB2"/>
    <w:rsid w:val="00C81441"/>
    <w:rsid w:val="00CB0170"/>
    <w:rsid w:val="00CB28AB"/>
    <w:rsid w:val="00CB622F"/>
    <w:rsid w:val="00CB6730"/>
    <w:rsid w:val="00CD7533"/>
    <w:rsid w:val="00D06723"/>
    <w:rsid w:val="00D45090"/>
    <w:rsid w:val="00D463F7"/>
    <w:rsid w:val="00D464F3"/>
    <w:rsid w:val="00D6245E"/>
    <w:rsid w:val="00D637A0"/>
    <w:rsid w:val="00D651A8"/>
    <w:rsid w:val="00D72BC2"/>
    <w:rsid w:val="00D75783"/>
    <w:rsid w:val="00D77B9F"/>
    <w:rsid w:val="00D804AF"/>
    <w:rsid w:val="00D91799"/>
    <w:rsid w:val="00DA5983"/>
    <w:rsid w:val="00DB53F2"/>
    <w:rsid w:val="00DC0BDD"/>
    <w:rsid w:val="00DD15A4"/>
    <w:rsid w:val="00DD787F"/>
    <w:rsid w:val="00DE7A3F"/>
    <w:rsid w:val="00E17688"/>
    <w:rsid w:val="00E26EB5"/>
    <w:rsid w:val="00E408A9"/>
    <w:rsid w:val="00E4186A"/>
    <w:rsid w:val="00E431EB"/>
    <w:rsid w:val="00E830DC"/>
    <w:rsid w:val="00EB164B"/>
    <w:rsid w:val="00ED2262"/>
    <w:rsid w:val="00ED34AE"/>
    <w:rsid w:val="00F022F8"/>
    <w:rsid w:val="00F07A9F"/>
    <w:rsid w:val="00F12096"/>
    <w:rsid w:val="00F534FA"/>
    <w:rsid w:val="00F56ABA"/>
    <w:rsid w:val="00F64CEC"/>
    <w:rsid w:val="00F9080B"/>
    <w:rsid w:val="00FB1A8A"/>
    <w:rsid w:val="00FC36DF"/>
    <w:rsid w:val="00FC6CFE"/>
    <w:rsid w:val="00FD3270"/>
    <w:rsid w:val="00FF0280"/>
    <w:rsid w:val="00FF775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A007F"/>
  <w15:chartTrackingRefBased/>
  <w15:docId w15:val="{55EB9ED3-715C-4425-A1A8-C6D58100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53D61"/>
    <w:rPr>
      <w:rFonts w:ascii="Tahoma" w:hAnsi="Tahoma"/>
      <w:sz w:val="20"/>
    </w:rPr>
  </w:style>
  <w:style w:type="paragraph" w:styleId="Kop1">
    <w:name w:val="heading 1"/>
    <w:basedOn w:val="Standaard"/>
    <w:next w:val="Standaard"/>
    <w:link w:val="Kop1Char"/>
    <w:uiPriority w:val="9"/>
    <w:qFormat/>
    <w:rsid w:val="00F56ABA"/>
    <w:pPr>
      <w:keepNext/>
      <w:keepLines/>
      <w:spacing w:before="240" w:after="0" w:line="480" w:lineRule="auto"/>
      <w:jc w:val="center"/>
      <w:outlineLvl w:val="0"/>
    </w:pPr>
    <w:rPr>
      <w:rFonts w:ascii="Calibri" w:eastAsiaTheme="majorEastAsia" w:hAnsi="Calibri" w:cstheme="majorBidi"/>
      <w:b/>
      <w:sz w:val="22"/>
      <w:szCs w:val="32"/>
    </w:rPr>
  </w:style>
  <w:style w:type="paragraph" w:styleId="Kop2">
    <w:name w:val="heading 2"/>
    <w:basedOn w:val="Standaard"/>
    <w:next w:val="Standaard"/>
    <w:link w:val="Kop2Char"/>
    <w:uiPriority w:val="9"/>
    <w:unhideWhenUsed/>
    <w:qFormat/>
    <w:rsid w:val="009910AA"/>
    <w:pPr>
      <w:keepNext/>
      <w:keepLines/>
      <w:spacing w:before="40" w:after="0"/>
      <w:jc w:val="center"/>
      <w:outlineLvl w:val="1"/>
    </w:pPr>
    <w:rPr>
      <w:rFonts w:ascii="Calibri" w:eastAsiaTheme="majorEastAsia" w:hAnsi="Calibri" w:cstheme="majorBidi"/>
      <w:b/>
      <w:sz w:val="22"/>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56ABA"/>
    <w:rPr>
      <w:rFonts w:ascii="Calibri" w:eastAsiaTheme="majorEastAsia" w:hAnsi="Calibri" w:cstheme="majorBidi"/>
      <w:b/>
      <w:szCs w:val="32"/>
    </w:rPr>
  </w:style>
  <w:style w:type="paragraph" w:styleId="Titel">
    <w:name w:val="Title"/>
    <w:basedOn w:val="Standaard"/>
    <w:next w:val="Standaard"/>
    <w:link w:val="TitelChar"/>
    <w:uiPriority w:val="10"/>
    <w:qFormat/>
    <w:rsid w:val="00A907E6"/>
    <w:pPr>
      <w:spacing w:after="0" w:line="240" w:lineRule="auto"/>
      <w:contextualSpacing/>
    </w:pPr>
    <w:rPr>
      <w:rFonts w:eastAsiaTheme="majorEastAsia" w:cstheme="majorBidi"/>
      <w:spacing w:val="-10"/>
      <w:kern w:val="28"/>
      <w:sz w:val="76"/>
      <w:szCs w:val="56"/>
    </w:rPr>
  </w:style>
  <w:style w:type="character" w:customStyle="1" w:styleId="TitelChar">
    <w:name w:val="Titel Char"/>
    <w:basedOn w:val="Standaardalinea-lettertype"/>
    <w:link w:val="Titel"/>
    <w:uiPriority w:val="10"/>
    <w:rsid w:val="00A907E6"/>
    <w:rPr>
      <w:rFonts w:ascii="Tahoma" w:eastAsiaTheme="majorEastAsia" w:hAnsi="Tahoma" w:cstheme="majorBidi"/>
      <w:spacing w:val="-10"/>
      <w:kern w:val="28"/>
      <w:sz w:val="76"/>
      <w:szCs w:val="56"/>
    </w:rPr>
  </w:style>
  <w:style w:type="character" w:customStyle="1" w:styleId="Kop2Char">
    <w:name w:val="Kop 2 Char"/>
    <w:basedOn w:val="Standaardalinea-lettertype"/>
    <w:link w:val="Kop2"/>
    <w:uiPriority w:val="9"/>
    <w:rsid w:val="009910AA"/>
    <w:rPr>
      <w:rFonts w:ascii="Calibri" w:eastAsiaTheme="majorEastAsia" w:hAnsi="Calibri" w:cstheme="majorBidi"/>
      <w:b/>
      <w:szCs w:val="26"/>
    </w:rPr>
  </w:style>
  <w:style w:type="table" w:styleId="Tabelraster">
    <w:name w:val="Table Grid"/>
    <w:basedOn w:val="Standaardtabel"/>
    <w:uiPriority w:val="39"/>
    <w:rsid w:val="002511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A80C6F"/>
    <w:pPr>
      <w:spacing w:before="240" w:after="0" w:line="240" w:lineRule="auto"/>
      <w:ind w:left="720"/>
      <w:contextualSpacing/>
      <w:jc w:val="both"/>
    </w:pPr>
    <w:rPr>
      <w:rFonts w:ascii="Arial" w:hAnsi="Arial"/>
      <w:sz w:val="22"/>
      <w:lang w:val="en-GB"/>
    </w:rPr>
  </w:style>
  <w:style w:type="character" w:customStyle="1" w:styleId="LijstalineaChar">
    <w:name w:val="Lijstalinea Char"/>
    <w:basedOn w:val="Standaardalinea-lettertype"/>
    <w:link w:val="Lijstalinea"/>
    <w:uiPriority w:val="34"/>
    <w:rsid w:val="00A80C6F"/>
    <w:rPr>
      <w:rFonts w:ascii="Arial" w:hAnsi="Arial"/>
      <w:lang w:val="en-GB"/>
    </w:rPr>
  </w:style>
  <w:style w:type="character" w:styleId="Nadruk">
    <w:name w:val="Emphasis"/>
    <w:basedOn w:val="Standaardalinea-lettertype"/>
    <w:uiPriority w:val="20"/>
    <w:qFormat/>
    <w:rsid w:val="00A80C6F"/>
    <w:rPr>
      <w:i/>
      <w:iCs/>
    </w:rPr>
  </w:style>
  <w:style w:type="paragraph" w:styleId="Revisie">
    <w:name w:val="Revision"/>
    <w:hidden/>
    <w:uiPriority w:val="99"/>
    <w:semiHidden/>
    <w:rsid w:val="00037235"/>
    <w:pPr>
      <w:spacing w:after="0" w:line="240" w:lineRule="auto"/>
    </w:pPr>
    <w:rPr>
      <w:rFonts w:ascii="Tahoma" w:hAnsi="Tahoma"/>
      <w:sz w:val="20"/>
    </w:rPr>
  </w:style>
  <w:style w:type="character" w:styleId="Verwijzingopmerking">
    <w:name w:val="annotation reference"/>
    <w:basedOn w:val="Standaardalinea-lettertype"/>
    <w:uiPriority w:val="99"/>
    <w:semiHidden/>
    <w:unhideWhenUsed/>
    <w:rsid w:val="00792142"/>
    <w:rPr>
      <w:sz w:val="16"/>
      <w:szCs w:val="16"/>
    </w:rPr>
  </w:style>
  <w:style w:type="paragraph" w:styleId="Tekstopmerking">
    <w:name w:val="annotation text"/>
    <w:basedOn w:val="Standaard"/>
    <w:link w:val="TekstopmerkingChar"/>
    <w:uiPriority w:val="99"/>
    <w:unhideWhenUsed/>
    <w:rsid w:val="00792142"/>
    <w:pPr>
      <w:spacing w:after="180" w:line="240" w:lineRule="auto"/>
    </w:pPr>
    <w:rPr>
      <w:rFonts w:asciiTheme="minorHAnsi" w:hAnsiTheme="minorHAnsi" w:cs="Times New Roman"/>
      <w:kern w:val="24"/>
      <w:sz w:val="22"/>
      <w:szCs w:val="20"/>
      <w:lang w:eastAsia="nl-BE"/>
      <w14:ligatures w14:val="standardContextual"/>
      <w14:numForm w14:val="lining"/>
    </w:rPr>
  </w:style>
  <w:style w:type="character" w:customStyle="1" w:styleId="TekstopmerkingChar">
    <w:name w:val="Tekst opmerking Char"/>
    <w:basedOn w:val="Standaardalinea-lettertype"/>
    <w:link w:val="Tekstopmerking"/>
    <w:uiPriority w:val="99"/>
    <w:rsid w:val="00792142"/>
    <w:rPr>
      <w:rFonts w:cs="Times New Roman"/>
      <w:kern w:val="24"/>
      <w:szCs w:val="20"/>
      <w:lang w:eastAsia="nl-BE"/>
      <w14:ligatures w14:val="standardContextual"/>
      <w14:numForm w14:val="lining"/>
    </w:rPr>
  </w:style>
  <w:style w:type="paragraph" w:styleId="Onderwerpvanopmerking">
    <w:name w:val="annotation subject"/>
    <w:basedOn w:val="Tekstopmerking"/>
    <w:next w:val="Tekstopmerking"/>
    <w:link w:val="OnderwerpvanopmerkingChar"/>
    <w:uiPriority w:val="99"/>
    <w:semiHidden/>
    <w:unhideWhenUsed/>
    <w:rsid w:val="000129CC"/>
    <w:pPr>
      <w:spacing w:after="160"/>
    </w:pPr>
    <w:rPr>
      <w:rFonts w:ascii="Tahoma" w:hAnsi="Tahoma" w:cstheme="minorBidi"/>
      <w:b/>
      <w:bCs/>
      <w:kern w:val="0"/>
      <w:sz w:val="20"/>
      <w:lang w:eastAsia="en-US"/>
      <w14:ligatures w14:val="none"/>
      <w14:numForm w14:val="default"/>
    </w:rPr>
  </w:style>
  <w:style w:type="character" w:customStyle="1" w:styleId="OnderwerpvanopmerkingChar">
    <w:name w:val="Onderwerp van opmerking Char"/>
    <w:basedOn w:val="TekstopmerkingChar"/>
    <w:link w:val="Onderwerpvanopmerking"/>
    <w:uiPriority w:val="99"/>
    <w:semiHidden/>
    <w:rsid w:val="000129CC"/>
    <w:rPr>
      <w:rFonts w:ascii="Tahoma" w:hAnsi="Tahoma" w:cs="Times New Roman"/>
      <w:b/>
      <w:bCs/>
      <w:kern w:val="24"/>
      <w:sz w:val="20"/>
      <w:szCs w:val="20"/>
      <w:lang w:eastAsia="nl-BE"/>
      <w14:ligatures w14:val="standardContextual"/>
      <w14:numForm w14:val="lining"/>
    </w:rPr>
  </w:style>
  <w:style w:type="character" w:styleId="Hyperlink">
    <w:name w:val="Hyperlink"/>
    <w:basedOn w:val="Standaardalinea-lettertype"/>
    <w:uiPriority w:val="99"/>
    <w:unhideWhenUsed/>
    <w:rsid w:val="0033133C"/>
    <w:rPr>
      <w:color w:val="32A8E0" w:themeColor="hyperlink"/>
      <w:u w:val="single"/>
    </w:rPr>
  </w:style>
  <w:style w:type="character" w:customStyle="1" w:styleId="Onopgelostemelding1">
    <w:name w:val="Onopgeloste melding1"/>
    <w:basedOn w:val="Standaardalinea-lettertype"/>
    <w:uiPriority w:val="99"/>
    <w:semiHidden/>
    <w:unhideWhenUsed/>
    <w:rsid w:val="0033133C"/>
    <w:rPr>
      <w:color w:val="605E5C"/>
      <w:shd w:val="clear" w:color="auto" w:fill="E1DFDD"/>
    </w:rPr>
  </w:style>
  <w:style w:type="character" w:styleId="GevolgdeHyperlink">
    <w:name w:val="FollowedHyperlink"/>
    <w:basedOn w:val="Standaardalinea-lettertype"/>
    <w:uiPriority w:val="99"/>
    <w:semiHidden/>
    <w:unhideWhenUsed/>
    <w:rsid w:val="0033133C"/>
    <w:rPr>
      <w:color w:val="834B93" w:themeColor="followedHyperlink"/>
      <w:u w:val="single"/>
    </w:rPr>
  </w:style>
  <w:style w:type="paragraph" w:styleId="Inhopg3">
    <w:name w:val="toc 3"/>
    <w:basedOn w:val="Standaard"/>
    <w:next w:val="Standaard"/>
    <w:autoRedefine/>
    <w:uiPriority w:val="39"/>
    <w:qFormat/>
    <w:rsid w:val="00B13DDD"/>
    <w:pPr>
      <w:spacing w:after="0" w:line="240" w:lineRule="auto"/>
      <w:ind w:left="400"/>
      <w:jc w:val="both"/>
    </w:pPr>
    <w:rPr>
      <w:rFonts w:ascii="Arial" w:eastAsia="Times New Roman" w:hAnsi="Arial" w:cs="Times New Roman"/>
      <w:i/>
      <w:spacing w:val="-5"/>
      <w:sz w:val="22"/>
      <w:lang w:val="fr-BE"/>
    </w:rPr>
  </w:style>
  <w:style w:type="paragraph" w:styleId="Kopvaninhoudsopgave">
    <w:name w:val="TOC Heading"/>
    <w:basedOn w:val="Kop1"/>
    <w:next w:val="Standaard"/>
    <w:uiPriority w:val="39"/>
    <w:unhideWhenUsed/>
    <w:qFormat/>
    <w:rsid w:val="00B13DDD"/>
    <w:pPr>
      <w:spacing w:line="240" w:lineRule="auto"/>
      <w:jc w:val="both"/>
      <w:outlineLvl w:val="9"/>
    </w:pPr>
    <w:rPr>
      <w:rFonts w:asciiTheme="majorHAnsi" w:hAnsiTheme="majorHAnsi"/>
      <w:sz w:val="32"/>
      <w:lang w:val="fr-BE"/>
    </w:rPr>
  </w:style>
  <w:style w:type="paragraph" w:styleId="Inhopg1">
    <w:name w:val="toc 1"/>
    <w:basedOn w:val="Standaard"/>
    <w:next w:val="Standaard"/>
    <w:autoRedefine/>
    <w:uiPriority w:val="39"/>
    <w:unhideWhenUsed/>
    <w:rsid w:val="00B604AF"/>
    <w:pPr>
      <w:tabs>
        <w:tab w:val="right" w:leader="dot" w:pos="9016"/>
      </w:tabs>
      <w:spacing w:after="100"/>
    </w:pPr>
  </w:style>
  <w:style w:type="paragraph" w:styleId="Koptekst">
    <w:name w:val="header"/>
    <w:basedOn w:val="Standaard"/>
    <w:link w:val="KoptekstChar"/>
    <w:uiPriority w:val="99"/>
    <w:unhideWhenUsed/>
    <w:rsid w:val="008B372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B372C"/>
    <w:rPr>
      <w:rFonts w:ascii="Tahoma" w:hAnsi="Tahoma"/>
      <w:sz w:val="20"/>
    </w:rPr>
  </w:style>
  <w:style w:type="paragraph" w:styleId="Voettekst">
    <w:name w:val="footer"/>
    <w:basedOn w:val="Standaard"/>
    <w:link w:val="VoettekstChar"/>
    <w:uiPriority w:val="99"/>
    <w:unhideWhenUsed/>
    <w:rsid w:val="008B372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B372C"/>
    <w:rPr>
      <w:rFonts w:ascii="Tahoma" w:hAnsi="Tahoma"/>
      <w:sz w:val="20"/>
    </w:rPr>
  </w:style>
  <w:style w:type="paragraph" w:styleId="Inhopg2">
    <w:name w:val="toc 2"/>
    <w:basedOn w:val="Standaard"/>
    <w:next w:val="Standaard"/>
    <w:autoRedefine/>
    <w:uiPriority w:val="39"/>
    <w:unhideWhenUsed/>
    <w:rsid w:val="00294B75"/>
    <w:pPr>
      <w:spacing w:after="100"/>
      <w:ind w:left="200"/>
    </w:pPr>
  </w:style>
  <w:style w:type="paragraph" w:customStyle="1" w:styleId="xxmsonormal">
    <w:name w:val="x_xmsonormal"/>
    <w:basedOn w:val="Standaard"/>
    <w:rsid w:val="00D45090"/>
    <w:pPr>
      <w:spacing w:after="0" w:line="240" w:lineRule="auto"/>
    </w:pPr>
    <w:rPr>
      <w:rFonts w:ascii="Calibri" w:hAnsi="Calibri" w:cs="Calibri"/>
      <w:sz w:val="22"/>
      <w:lang w:val="fr-BE" w:eastAsia="fr-BE"/>
    </w:rPr>
  </w:style>
  <w:style w:type="paragraph" w:customStyle="1" w:styleId="Body">
    <w:name w:val="Body"/>
    <w:basedOn w:val="Standaard"/>
    <w:qFormat/>
    <w:rsid w:val="00DC0BDD"/>
    <w:pPr>
      <w:spacing w:before="240" w:after="120" w:line="240" w:lineRule="auto"/>
      <w:jc w:val="both"/>
    </w:pPr>
    <w:rPr>
      <w:rFonts w:eastAsiaTheme="minorEastAsia"/>
      <w:color w:val="000000" w:themeColor="text1"/>
      <w:szCs w:val="20"/>
      <w:lang w:val="fr-BE"/>
      <w14:numForm w14:val="lining"/>
    </w:rPr>
  </w:style>
  <w:style w:type="paragraph" w:styleId="Ballontekst">
    <w:name w:val="Balloon Text"/>
    <w:basedOn w:val="Standaard"/>
    <w:link w:val="BallontekstChar"/>
    <w:uiPriority w:val="99"/>
    <w:semiHidden/>
    <w:unhideWhenUsed/>
    <w:rsid w:val="00516CC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16C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14062">
      <w:bodyDiv w:val="1"/>
      <w:marLeft w:val="0"/>
      <w:marRight w:val="0"/>
      <w:marTop w:val="0"/>
      <w:marBottom w:val="0"/>
      <w:divBdr>
        <w:top w:val="none" w:sz="0" w:space="0" w:color="auto"/>
        <w:left w:val="none" w:sz="0" w:space="0" w:color="auto"/>
        <w:bottom w:val="none" w:sz="0" w:space="0" w:color="auto"/>
        <w:right w:val="none" w:sz="0" w:space="0" w:color="auto"/>
      </w:divBdr>
    </w:div>
    <w:div w:id="211624179">
      <w:bodyDiv w:val="1"/>
      <w:marLeft w:val="0"/>
      <w:marRight w:val="0"/>
      <w:marTop w:val="0"/>
      <w:marBottom w:val="0"/>
      <w:divBdr>
        <w:top w:val="none" w:sz="0" w:space="0" w:color="auto"/>
        <w:left w:val="none" w:sz="0" w:space="0" w:color="auto"/>
        <w:bottom w:val="none" w:sz="0" w:space="0" w:color="auto"/>
        <w:right w:val="none" w:sz="0" w:space="0" w:color="auto"/>
      </w:divBdr>
    </w:div>
    <w:div w:id="612638221">
      <w:bodyDiv w:val="1"/>
      <w:marLeft w:val="0"/>
      <w:marRight w:val="0"/>
      <w:marTop w:val="0"/>
      <w:marBottom w:val="0"/>
      <w:divBdr>
        <w:top w:val="none" w:sz="0" w:space="0" w:color="auto"/>
        <w:left w:val="none" w:sz="0" w:space="0" w:color="auto"/>
        <w:bottom w:val="none" w:sz="0" w:space="0" w:color="auto"/>
        <w:right w:val="none" w:sz="0" w:space="0" w:color="auto"/>
      </w:divBdr>
    </w:div>
    <w:div w:id="1805388866">
      <w:bodyDiv w:val="1"/>
      <w:marLeft w:val="0"/>
      <w:marRight w:val="0"/>
      <w:marTop w:val="0"/>
      <w:marBottom w:val="0"/>
      <w:divBdr>
        <w:top w:val="none" w:sz="0" w:space="0" w:color="auto"/>
        <w:left w:val="none" w:sz="0" w:space="0" w:color="auto"/>
        <w:bottom w:val="none" w:sz="0" w:space="0" w:color="auto"/>
        <w:right w:val="none" w:sz="0" w:space="0" w:color="auto"/>
      </w:divBdr>
    </w:div>
    <w:div w:id="196741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BIPT-IBPT">
  <a:themeElements>
    <a:clrScheme name="IBPT Stijlgids 2">
      <a:dk1>
        <a:sysClr val="windowText" lastClr="000000"/>
      </a:dk1>
      <a:lt1>
        <a:sysClr val="window" lastClr="FFFFFF"/>
      </a:lt1>
      <a:dk2>
        <a:srgbClr val="292A81"/>
      </a:dk2>
      <a:lt2>
        <a:srgbClr val="E0EDFA"/>
      </a:lt2>
      <a:accent1>
        <a:srgbClr val="32A8E0"/>
      </a:accent1>
      <a:accent2>
        <a:srgbClr val="C73432"/>
      </a:accent2>
      <a:accent3>
        <a:srgbClr val="D06516"/>
      </a:accent3>
      <a:accent4>
        <a:srgbClr val="EAB80F"/>
      </a:accent4>
      <a:accent5>
        <a:srgbClr val="A1C049"/>
      </a:accent5>
      <a:accent6>
        <a:srgbClr val="53AAA7"/>
      </a:accent6>
      <a:hlink>
        <a:srgbClr val="32A8E0"/>
      </a:hlink>
      <a:folHlink>
        <a:srgbClr val="834B9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Add Dossier Service and Service Nr Eventhandler (Added)</Name>
    <Synchronization>Synchronous</Synchronization>
    <Type>10001</Type>
    <SequenceNumber>10030</SequenceNumber>
    <Assembly>BIPT.Ged, Version=1.0.0.0, Culture=neutral, PublicKeyToken=423c9e81cd84949a</Assembly>
    <Class>BIPT.Ged.EventReceivers.FillOutDossierServiceAndServiceNumber.FillOutDossierServiceAndServiceNumber</Class>
    <Data/>
    <Filter/>
  </Receiver>
  <Receiver>
    <Name>addin</Name>
    <Synchronization>Synchronous</Synchronization>
    <Type>1</Type>
    <SequenceNumber>10240</SequenceNumber>
    <Assembly>BIPT.Ged, Version=1.0.0.0, Culture=neutral, PublicKeyToken=423c9e81cd84949a</Assembly>
    <Class>BIPT.Ged.EventReceivers.FillOutDossierServiceAndServiceNumber.FillOutDossierServiceAndServiceNumber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ssier Document FR" ma:contentTypeID="0x0101004FA21861B553C741A1AA3F2E5831C1CC0507009B219235E488424E858FD5EE5506841D" ma:contentTypeVersion="66" ma:contentTypeDescription="Een nieuw document maken." ma:contentTypeScope="" ma:versionID="54b1b19eda27af1f23de764352b334bd">
  <xsd:schema xmlns:xsd="http://www.w3.org/2001/XMLSchema" xmlns:xs="http://www.w3.org/2001/XMLSchema" xmlns:p="http://schemas.microsoft.com/office/2006/metadata/properties" xmlns:ns2="2b4b6fc7-bde4-44a8-8bca-a78eb25a27e9" targetNamespace="http://schemas.microsoft.com/office/2006/metadata/properties" ma:root="true" ma:fieldsID="4877b5d9374d1717e04382829402bc6b" ns2:_="">
    <xsd:import namespace="2b4b6fc7-bde4-44a8-8bca-a78eb25a27e9"/>
    <xsd:element name="properties">
      <xsd:complexType>
        <xsd:sequence>
          <xsd:element name="documentManagement">
            <xsd:complexType>
              <xsd:all>
                <xsd:element ref="ns2:Dossier_x0020_Number" minOccurs="0"/>
                <xsd:element ref="ns2:History_x0020_of_x0020_Remarks" minOccurs="0"/>
                <xsd:element ref="ns2:Administrative" minOccurs="0"/>
                <xsd:element ref="ns2:Confidential1" minOccurs="0"/>
                <xsd:element ref="ns2:Version_x0020_Published_x0020_To_x0020_Library" minOccurs="0"/>
                <xsd:element ref="ns2:_dlc_DocIdUrl" minOccurs="0"/>
                <xsd:element ref="ns2:_dlc_DocIdPersistId" minOccurs="0"/>
                <xsd:element ref="ns2:abfcb1f17d5f4555baa428617776f0c1" minOccurs="0"/>
                <xsd:element ref="ns2:TaxCatchAllLabel" minOccurs="0"/>
                <xsd:element ref="ns2:d4ec9b080060429989fa5f940ee3f852" minOccurs="0"/>
                <xsd:element ref="ns2:TaxCatchAll" minOccurs="0"/>
                <xsd:element ref="ns2:o3cf37d2a5d34fd7955003a053893e5e" minOccurs="0"/>
                <xsd:element ref="ns2:_dlc_DocId" minOccurs="0"/>
                <xsd:element ref="ns2:Version_x0020_Published_x0020_to_x0020_Internet" minOccurs="0"/>
                <xsd:element ref="ns2:QuickPartDocumentId" minOccurs="0"/>
                <xsd:element ref="ns2:Master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b6fc7-bde4-44a8-8bca-a78eb25a27e9" elementFormDefault="qualified">
    <xsd:import namespace="http://schemas.microsoft.com/office/2006/documentManagement/types"/>
    <xsd:import namespace="http://schemas.microsoft.com/office/infopath/2007/PartnerControls"/>
    <xsd:element name="Dossier_x0020_Number" ma:index="5" nillable="true" ma:displayName="Dossier Number" ma:internalName="Dossier_x0020_Number">
      <xsd:simpleType>
        <xsd:restriction base="dms:Text">
          <xsd:maxLength value="255"/>
        </xsd:restriction>
      </xsd:simpleType>
    </xsd:element>
    <xsd:element name="History_x0020_of_x0020_Remarks" ma:index="6" nillable="true" ma:displayName="History of Remarks" ma:internalName="History_x0020_of_x0020_Remarks">
      <xsd:simpleType>
        <xsd:restriction base="dms:Note">
          <xsd:maxLength value="255"/>
        </xsd:restriction>
      </xsd:simpleType>
    </xsd:element>
    <xsd:element name="Administrative" ma:index="7" nillable="true" ma:displayName="Administrative" ma:default="0" ma:internalName="Administrative">
      <xsd:simpleType>
        <xsd:restriction base="dms:Boolean"/>
      </xsd:simpleType>
    </xsd:element>
    <xsd:element name="Confidential1" ma:index="8" nillable="true" ma:displayName="Confidential" ma:default="0" ma:internalName="Confidential1">
      <xsd:simpleType>
        <xsd:restriction base="dms:Boolean"/>
      </xsd:simpleType>
    </xsd:element>
    <xsd:element name="Version_x0020_Published_x0020_To_x0020_Library" ma:index="9" nillable="true" ma:displayName="Version Published to Library" ma:internalName="Version_x0020_Published_x0020_To_x0020_Library">
      <xsd:simpleType>
        <xsd:restriction base="dms:Text">
          <xsd:maxLength value="255"/>
        </xsd:restriction>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abfcb1f17d5f4555baa428617776f0c1" ma:index="12" nillable="true" ma:taxonomy="true" ma:internalName="abfcb1f17d5f4555baa428617776f0c1" ma:taxonomyFieldName="Document_x0020_Type" ma:displayName="Document Type" ma:default="" ma:fieldId="{abfcb1f1-7d5f-4555-baa4-28617776f0c1}" ma:sspId="75b52628-4ae0-409d-b79e-6d0521b2c784" ma:termSetId="0add2e65-f722-4dcd-91e5-e26bd7158a0c" ma:anchorId="00000000-0000-0000-0000-000000000000" ma:open="false" ma:isKeyword="false">
      <xsd:complexType>
        <xsd:sequence>
          <xsd:element ref="pc:Terms" minOccurs="0" maxOccurs="1"/>
        </xsd:sequence>
      </xsd:complexType>
    </xsd:element>
    <xsd:element name="TaxCatchAllLabel" ma:index="14" nillable="true" ma:displayName="Taxonomy Catch All Column1" ma:hidden="true" ma:list="{aacb5312-317a-4e89-849f-bd5396de7844}" ma:internalName="TaxCatchAllLabel" ma:readOnly="true" ma:showField="CatchAllDataLabel" ma:web="ee4a8943-b5a3-4828-a533-4ae5fe2be810">
      <xsd:complexType>
        <xsd:complexContent>
          <xsd:extension base="dms:MultiChoiceLookup">
            <xsd:sequence>
              <xsd:element name="Value" type="dms:Lookup" maxOccurs="unbounded" minOccurs="0" nillable="true"/>
            </xsd:sequence>
          </xsd:extension>
        </xsd:complexContent>
      </xsd:complexType>
    </xsd:element>
    <xsd:element name="d4ec9b080060429989fa5f940ee3f852" ma:index="18" nillable="true" ma:taxonomy="true" ma:internalName="d4ec9b080060429989fa5f940ee3f852" ma:taxonomyFieldName="Service1" ma:displayName="Service" ma:readOnly="false" ma:default="" ma:fieldId="{d4ec9b08-0060-4299-89fa-5f940ee3f852}" ma:sspId="75b52628-4ae0-409d-b79e-6d0521b2c784" ma:termSetId="46b8dc2a-6372-4a7b-bdd4-6b0c5e787490"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aacb5312-317a-4e89-849f-bd5396de7844}" ma:internalName="TaxCatchAll" ma:showField="CatchAllData" ma:web="ee4a8943-b5a3-4828-a533-4ae5fe2be810">
      <xsd:complexType>
        <xsd:complexContent>
          <xsd:extension base="dms:MultiChoiceLookup">
            <xsd:sequence>
              <xsd:element name="Value" type="dms:Lookup" maxOccurs="unbounded" minOccurs="0" nillable="true"/>
            </xsd:sequence>
          </xsd:extension>
        </xsd:complexContent>
      </xsd:complexType>
    </xsd:element>
    <xsd:element name="o3cf37d2a5d34fd7955003a053893e5e" ma:index="20" nillable="true" ma:taxonomy="true" ma:internalName="o3cf37d2a5d34fd7955003a053893e5e" ma:taxonomyFieldName="Languages" ma:displayName="Languages" ma:default="" ma:fieldId="{83cf37d2-a5d3-4fd7-9550-03a053893e5e}" ma:taxonomyMulti="true" ma:sspId="75b52628-4ae0-409d-b79e-6d0521b2c784" ma:termSetId="af6d6fcf-919d-4606-93f6-1f52cad124cb"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Version_x0020_Published_x0020_to_x0020_Internet" ma:index="24" nillable="true" ma:displayName="Version Published to Internet" ma:internalName="Version_x0020_Published_x0020_to_x0020_Internet">
      <xsd:simpleType>
        <xsd:restriction base="dms:Text">
          <xsd:maxLength value="255"/>
        </xsd:restriction>
      </xsd:simpleType>
    </xsd:element>
    <xsd:element name="QuickPartDocumentId" ma:index="25" nillable="true" ma:displayName="Doc Id" ma:internalName="QuickPartDocumentId" ma:readOnly="false">
      <xsd:simpleType>
        <xsd:restriction base="dms:Text">
          <xsd:maxLength value="255"/>
        </xsd:restriction>
      </xsd:simpleType>
    </xsd:element>
    <xsd:element name="Master_x0020_Id" ma:index="26" nillable="true" ma:displayName="Master Id" ma:internalName="Master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Version_x0020_Published_x0020_To_x0020_Library xmlns="2b4b6fc7-bde4-44a8-8bca-a78eb25a27e9" xsi:nil="true"/>
    <d4ec9b080060429989fa5f940ee3f852 xmlns="2b4b6fc7-bde4-44a8-8bca-a78eb25a27e9">
      <Terms xmlns="http://schemas.microsoft.com/office/infopath/2007/PartnerControls">
        <TermInfo xmlns="http://schemas.microsoft.com/office/infopath/2007/PartnerControls">
          <TermName xmlns="http://schemas.microsoft.com/office/infopath/2007/PartnerControls">Legal Department</TermName>
          <TermId xmlns="http://schemas.microsoft.com/office/infopath/2007/PartnerControls">dd78c772-9794-4686-a245-4df1b644d6ba</TermId>
        </TermInfo>
      </Terms>
    </d4ec9b080060429989fa5f940ee3f852>
    <o3cf37d2a5d34fd7955003a053893e5e xmlns="2b4b6fc7-bde4-44a8-8bca-a78eb25a27e9">
      <Terms xmlns="http://schemas.microsoft.com/office/infopath/2007/PartnerControls">
        <TermInfo xmlns="http://schemas.microsoft.com/office/infopath/2007/PartnerControls">
          <TermName xmlns="http://schemas.microsoft.com/office/infopath/2007/PartnerControls">Dutch</TermName>
          <TermId xmlns="http://schemas.microsoft.com/office/infopath/2007/PartnerControls">6a9e699e-14a6-4582-b99d-f214c5b8b963</TermId>
        </TermInfo>
      </Terms>
    </o3cf37d2a5d34fd7955003a053893e5e>
    <Master_x0020_Id xmlns="2b4b6fc7-bde4-44a8-8bca-a78eb25a27e9" xsi:nil="true"/>
    <Dossier_x0020_Number xmlns="2b4b6fc7-bde4-44a8-8bca-a78eb25a27e9">2020-001255</Dossier_x0020_Number>
    <Version_x0020_Published_x0020_to_x0020_Internet xmlns="2b4b6fc7-bde4-44a8-8bca-a78eb25a27e9" xsi:nil="true"/>
    <abfcb1f17d5f4555baa428617776f0c1 xmlns="2b4b6fc7-bde4-44a8-8bca-a78eb25a27e9">
      <Terms xmlns="http://schemas.microsoft.com/office/infopath/2007/PartnerControls"/>
    </abfcb1f17d5f4555baa428617776f0c1>
    <TaxCatchAll xmlns="2b4b6fc7-bde4-44a8-8bca-a78eb25a27e9">
      <Value>5</Value>
      <Value>27</Value>
    </TaxCatchAll>
    <QuickPartDocumentId xmlns="2b4b6fc7-bde4-44a8-8bca-a78eb25a27e9">DS20-1372834777-2336</QuickPartDocumentId>
    <History_x0020_of_x0020_Remarks xmlns="2b4b6fc7-bde4-44a8-8bca-a78eb25a27e9" xsi:nil="true"/>
    <Administrative xmlns="2b4b6fc7-bde4-44a8-8bca-a78eb25a27e9">false</Administrative>
    <Confidential1 xmlns="2b4b6fc7-bde4-44a8-8bca-a78eb25a27e9">false</Confidential1>
    <_dlc_DocId xmlns="2b4b6fc7-bde4-44a8-8bca-a78eb25a27e9">DS20-1372834777-2336</_dlc_DocId>
    <_dlc_DocIdUrl xmlns="2b4b6fc7-bde4-44a8-8bca-a78eb25a27e9">
      <Url>http://teamworkingspace.bipt.local/sites/dossiers2020/12/2020001255/_layouts/DocIdRedir.aspx?ID=DS20-1372834777-2336</Url>
      <Description>DS20-1372834777-2336</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6EE41-C567-4910-B6BD-4B5183C49043}"/>
</file>

<file path=customXml/itemProps2.xml><?xml version="1.0" encoding="utf-8"?>
<ds:datastoreItem xmlns:ds="http://schemas.openxmlformats.org/officeDocument/2006/customXml" ds:itemID="{67C9274A-091B-46B8-B1C3-3B3EB2EB6890}"/>
</file>

<file path=customXml/itemProps3.xml><?xml version="1.0" encoding="utf-8"?>
<ds:datastoreItem xmlns:ds="http://schemas.openxmlformats.org/officeDocument/2006/customXml" ds:itemID="{7BF5E7C2-B5B8-4D41-923E-91916C2F1B20}"/>
</file>

<file path=customXml/itemProps4.xml><?xml version="1.0" encoding="utf-8"?>
<ds:datastoreItem xmlns:ds="http://schemas.openxmlformats.org/officeDocument/2006/customXml" ds:itemID="{45F7C6DA-F25A-4AA1-B2DB-816B05666058}"/>
</file>

<file path=customXml/itemProps5.xml><?xml version="1.0" encoding="utf-8"?>
<ds:datastoreItem xmlns:ds="http://schemas.openxmlformats.org/officeDocument/2006/customXml" ds:itemID="{3581B98E-9E92-44E6-BEB7-52DA1FE35FB1}"/>
</file>

<file path=customXml/itemProps6.xml><?xml version="1.0" encoding="utf-8"?>
<ds:datastoreItem xmlns:ds="http://schemas.openxmlformats.org/officeDocument/2006/customXml" ds:itemID="{89DFB782-34C4-4247-AAF7-CCFBEA63BE9A}"/>
</file>

<file path=docProps/app.xml><?xml version="1.0" encoding="utf-8"?>
<Properties xmlns="http://schemas.openxmlformats.org/officeDocument/2006/extended-properties" xmlns:vt="http://schemas.openxmlformats.org/officeDocument/2006/docPropsVTypes">
  <Template>Normal</Template>
  <TotalTime>70</TotalTime>
  <Pages>27</Pages>
  <Words>13372</Words>
  <Characters>73548</Characters>
  <Application>Microsoft Office Word</Application>
  <DocSecurity>0</DocSecurity>
  <Lines>612</Lines>
  <Paragraphs>173</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03 2022 02 15 amendements loi IBPT statut_NL</vt:lpstr>
      <vt:lpstr>03 2022 02 15 amendements loi IBPT statut_NL</vt:lpstr>
      <vt:lpstr>03 2022 02 15 amendements loi IBPT statut_NL</vt:lpstr>
    </vt:vector>
  </TitlesOfParts>
  <Company/>
  <LinksUpToDate>false</LinksUpToDate>
  <CharactersWithSpaces>86747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2022 02 15 amendements loi IBPT statut_NL</dc:title>
  <dc:subject/>
  <dc:creator>Fabienne Wauty</dc:creator>
  <cp:keywords/>
  <dc:description/>
  <cp:lastModifiedBy>Pierre-Yves Dethy</cp:lastModifiedBy>
  <cp:revision>9</cp:revision>
  <dcterms:created xsi:type="dcterms:W3CDTF">2022-02-24T11:13:00Z</dcterms:created>
  <dcterms:modified xsi:type="dcterms:W3CDTF">2022-02-24T16:10:00Z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0x0101004FA21861B553C741A1AA3F2E5831C1CC0507009B219235E488424E858FD5EE5506841D</vt:lpwstr>
  </property>
  <property fmtid="{D5CDD505-2E9C-101B-9397-08002B2CF9AE}" pid="3" name="_dlc_DocIdItemGuid">
    <vt:lpwstr>2ae31caf-6b58-4357-acc3-4f7d0f8ab7e2</vt:lpwstr>
  </property>
  <property fmtid="{D5CDD505-2E9C-101B-9397-08002B2CF9AE}" pid="4" name="p5514218fd064764993fc7f005d66e34">
    <vt:lpwstr/>
  </property>
  <property fmtid="{D5CDD505-2E9C-101B-9397-08002B2CF9AE}" pid="5" name="nd8a4f3b4df3473d8008d70ef4499b5e">
    <vt:lpwstr/>
  </property>
  <property fmtid="{D5CDD505-2E9C-101B-9397-08002B2CF9AE}" pid="6" name="Medium Type">
    <vt:lpwstr/>
  </property>
  <property fmtid="{D5CDD505-2E9C-101B-9397-08002B2CF9AE}" pid="7" name="Service1">
    <vt:lpwstr>27;#Legal Department|dd78c772-9794-4686-a245-4df1b644d6ba</vt:lpwstr>
  </property>
  <property fmtid="{D5CDD505-2E9C-101B-9397-08002B2CF9AE}" pid="8" name="Languages">
    <vt:lpwstr>5;#Dutch|6a9e699e-14a6-4582-b99d-f214c5b8b963</vt:lpwstr>
  </property>
  <property fmtid="{D5CDD505-2E9C-101B-9397-08002B2CF9AE}" pid="9" name="Document Type">
    <vt:lpwstr/>
  </property>
  <property fmtid="{D5CDD505-2E9C-101B-9397-08002B2CF9AE}" pid="10" name="Answer or Initiative">
    <vt:lpwstr/>
  </property>
  <property fmtid="{D5CDD505-2E9C-101B-9397-08002B2CF9AE}" pid="11" name="_AdHocReviewCycleID">
    <vt:i4>474198978</vt:i4>
  </property>
  <property fmtid="{D5CDD505-2E9C-101B-9397-08002B2CF9AE}" pid="12" name="_NewReviewCycle">
    <vt:lpwstr/>
  </property>
  <property fmtid="{D5CDD505-2E9C-101B-9397-08002B2CF9AE}" pid="13" name="_EmailSubject">
    <vt:lpwstr>IKW data retention</vt:lpwstr>
  </property>
  <property fmtid="{D5CDD505-2E9C-101B-9397-08002B2CF9AE}" pid="14" name="_AuthorEmail">
    <vt:lpwstr>Sofie.Hoogers@fsma.be</vt:lpwstr>
  </property>
  <property fmtid="{D5CDD505-2E9C-101B-9397-08002B2CF9AE}" pid="15" name="_AuthorEmailDisplayName">
    <vt:lpwstr>Hoogers, Sofie</vt:lpwstr>
  </property>
  <property fmtid="{D5CDD505-2E9C-101B-9397-08002B2CF9AE}" pid="16" name="_ReviewingToolsShownOnce">
    <vt:lpwstr/>
  </property>
</Properties>
</file>