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871B" w14:textId="2EA5DCDE" w:rsidR="00CF4615" w:rsidRDefault="00CF4615" w:rsidP="0082314F">
      <w:pPr>
        <w:jc w:val="right"/>
        <w:rPr>
          <w:lang w:val="fr-BE"/>
        </w:rPr>
      </w:pPr>
    </w:p>
    <w:p w14:paraId="3E74DEE2" w14:textId="2FAA9B6A" w:rsidR="00FA5651" w:rsidRPr="00065173" w:rsidRDefault="00B125AB" w:rsidP="008B1926">
      <w:pPr>
        <w:pStyle w:val="Title"/>
        <w:jc w:val="center"/>
        <w:rPr>
          <w:sz w:val="28"/>
          <w:szCs w:val="28"/>
          <w:lang w:val="fr-BE"/>
        </w:rPr>
      </w:pPr>
      <w:bookmarkStart w:id="0" w:name="_Toc56792568"/>
      <w:r>
        <w:rPr>
          <w:sz w:val="28"/>
          <w:szCs w:val="28"/>
          <w:lang w:val="fr-BE"/>
        </w:rPr>
        <w:t>V</w:t>
      </w:r>
      <w:r w:rsidRPr="00FA5651">
        <w:rPr>
          <w:sz w:val="28"/>
          <w:szCs w:val="28"/>
          <w:lang w:val="fr-BE"/>
        </w:rPr>
        <w:t xml:space="preserve">ersion coordonnée </w:t>
      </w:r>
      <w:r>
        <w:rPr>
          <w:sz w:val="28"/>
          <w:szCs w:val="28"/>
          <w:lang w:val="fr-BE"/>
        </w:rPr>
        <w:t xml:space="preserve">de la </w:t>
      </w:r>
      <w:r w:rsidR="00FA5651" w:rsidRPr="00FA5651">
        <w:rPr>
          <w:sz w:val="28"/>
          <w:szCs w:val="28"/>
          <w:lang w:val="fr-BE"/>
        </w:rPr>
        <w:t xml:space="preserve">loi IBPT-statut </w:t>
      </w:r>
      <w:r w:rsidR="00065173" w:rsidRPr="00065173">
        <w:rPr>
          <w:sz w:val="28"/>
          <w:szCs w:val="28"/>
          <w:lang w:val="fr-BE"/>
        </w:rPr>
        <w:t>(chapitre 3 du dispositif) </w:t>
      </w:r>
    </w:p>
    <w:p w14:paraId="60396532" w14:textId="196D0589" w:rsidR="008B1926" w:rsidRPr="00065173" w:rsidRDefault="00B125AB" w:rsidP="008B1926">
      <w:pPr>
        <w:pStyle w:val="Title"/>
        <w:jc w:val="center"/>
        <w:rPr>
          <w:sz w:val="28"/>
          <w:szCs w:val="28"/>
          <w:lang w:val="fr-BE"/>
        </w:rPr>
      </w:pPr>
      <w:r w:rsidRPr="00065173">
        <w:rPr>
          <w:sz w:val="28"/>
          <w:szCs w:val="28"/>
          <w:lang w:val="fr-BE"/>
        </w:rPr>
        <w:t xml:space="preserve">Gecoördineerde versie van de </w:t>
      </w:r>
      <w:r w:rsidR="00AD73ED" w:rsidRPr="00065173">
        <w:rPr>
          <w:sz w:val="28"/>
          <w:szCs w:val="28"/>
          <w:lang w:val="fr-BE"/>
        </w:rPr>
        <w:t>BIPT-statuut</w:t>
      </w:r>
      <w:r w:rsidR="00564D7F" w:rsidRPr="00065173">
        <w:rPr>
          <w:sz w:val="28"/>
          <w:szCs w:val="28"/>
          <w:lang w:val="fr-BE"/>
        </w:rPr>
        <w:t>wet</w:t>
      </w:r>
      <w:bookmarkEnd w:id="0"/>
      <w:r w:rsidR="00065173" w:rsidRPr="00065173">
        <w:rPr>
          <w:sz w:val="28"/>
          <w:szCs w:val="28"/>
          <w:lang w:val="fr-BE"/>
        </w:rPr>
        <w:t xml:space="preserve"> </w:t>
      </w:r>
      <w:r w:rsidR="00065173" w:rsidRPr="00065173">
        <w:rPr>
          <w:sz w:val="28"/>
          <w:szCs w:val="28"/>
          <w:lang w:val="fr-BE"/>
        </w:rPr>
        <w:t>(hoofdstuk 3 van het dispositief)</w:t>
      </w:r>
    </w:p>
    <w:p w14:paraId="5569A48C" w14:textId="77777777" w:rsidR="00A121BC" w:rsidRDefault="00A121BC" w:rsidP="008B1926">
      <w:pPr>
        <w:pStyle w:val="BIPTHeading1"/>
      </w:pPr>
      <w:bookmarkStart w:id="1" w:name="_Toc70669814"/>
      <w:r>
        <w:t>Explications/</w:t>
      </w:r>
      <w:proofErr w:type="spellStart"/>
      <w:r>
        <w:t>uitleg</w:t>
      </w:r>
      <w:bookmarkEnd w:id="1"/>
      <w:proofErr w:type="spellEnd"/>
      <w:r>
        <w:t xml:space="preserve"> </w:t>
      </w:r>
    </w:p>
    <w:tbl>
      <w:tblPr>
        <w:tblStyle w:val="TableGrid"/>
        <w:tblW w:w="0" w:type="auto"/>
        <w:tblLook w:val="04A0" w:firstRow="1" w:lastRow="0" w:firstColumn="1" w:lastColumn="0" w:noHBand="0" w:noVBand="1"/>
      </w:tblPr>
      <w:tblGrid>
        <w:gridCol w:w="4408"/>
        <w:gridCol w:w="4608"/>
      </w:tblGrid>
      <w:tr w:rsidR="00A121BC" w14:paraId="15C46212" w14:textId="77777777" w:rsidTr="00A121BC">
        <w:tc>
          <w:tcPr>
            <w:tcW w:w="6974" w:type="dxa"/>
            <w:shd w:val="clear" w:color="auto" w:fill="D9D9D9" w:themeFill="background1" w:themeFillShade="D9"/>
          </w:tcPr>
          <w:p w14:paraId="22DE4BEC" w14:textId="4E37C79B" w:rsidR="00A121BC" w:rsidRDefault="00A121BC" w:rsidP="00A121BC">
            <w:pPr>
              <w:jc w:val="center"/>
            </w:pPr>
            <w:r>
              <w:t>Français</w:t>
            </w:r>
          </w:p>
        </w:tc>
        <w:tc>
          <w:tcPr>
            <w:tcW w:w="6974" w:type="dxa"/>
            <w:shd w:val="clear" w:color="auto" w:fill="D9D9D9" w:themeFill="background1" w:themeFillShade="D9"/>
          </w:tcPr>
          <w:p w14:paraId="45137034" w14:textId="02D514E2" w:rsidR="00A121BC" w:rsidRDefault="00A121BC" w:rsidP="00A121BC">
            <w:pPr>
              <w:jc w:val="center"/>
            </w:pPr>
            <w:proofErr w:type="spellStart"/>
            <w:r>
              <w:t>Nederlands</w:t>
            </w:r>
            <w:proofErr w:type="spellEnd"/>
            <w:r>
              <w:t xml:space="preserve"> </w:t>
            </w:r>
          </w:p>
        </w:tc>
      </w:tr>
      <w:tr w:rsidR="00A121BC" w:rsidRPr="00065173" w14:paraId="0A65BF59" w14:textId="77777777" w:rsidTr="00A121BC">
        <w:tc>
          <w:tcPr>
            <w:tcW w:w="6974" w:type="dxa"/>
          </w:tcPr>
          <w:p w14:paraId="29F30496" w14:textId="0E2E9479" w:rsidR="00A121BC" w:rsidRDefault="00A121BC" w:rsidP="00B005CC">
            <w:pPr>
              <w:jc w:val="both"/>
            </w:pPr>
            <w:r w:rsidRPr="008B1926">
              <w:t>La loi IBPT-statut est la loi du 17 janvier 2003 relative au statut du régulateur des secteurs des postes et des télécommunications belges.</w:t>
            </w:r>
          </w:p>
        </w:tc>
        <w:tc>
          <w:tcPr>
            <w:tcW w:w="6974" w:type="dxa"/>
          </w:tcPr>
          <w:p w14:paraId="6B03C33C" w14:textId="500E0E2D" w:rsidR="00A121BC" w:rsidRPr="00A121BC" w:rsidRDefault="00A121BC" w:rsidP="00B005CC">
            <w:pPr>
              <w:jc w:val="both"/>
              <w:rPr>
                <w:lang w:val="nl-BE"/>
              </w:rPr>
            </w:pPr>
            <w:r>
              <w:rPr>
                <w:lang w:val="nl-BE"/>
              </w:rPr>
              <w:t>De BIPT-statuut wet is de w</w:t>
            </w:r>
            <w:r w:rsidRPr="0013693F">
              <w:rPr>
                <w:lang w:val="nl-BE"/>
              </w:rPr>
              <w:t>et van 17 januari 2003 met betrekking tot het statuut van de regulator van de Belgische post- en telecommunicatiesector.</w:t>
            </w:r>
          </w:p>
        </w:tc>
      </w:tr>
      <w:tr w:rsidR="00A121BC" w:rsidRPr="00065173" w14:paraId="44F1D1AC" w14:textId="77777777" w:rsidTr="00A121BC">
        <w:tc>
          <w:tcPr>
            <w:tcW w:w="6974" w:type="dxa"/>
          </w:tcPr>
          <w:p w14:paraId="4D32BDEE" w14:textId="6B3E9C52" w:rsidR="00A121BC" w:rsidRPr="00D32344" w:rsidRDefault="00A121BC" w:rsidP="00B005CC">
            <w:pPr>
              <w:pStyle w:val="NoSpacing"/>
            </w:pPr>
            <w:r w:rsidRPr="00E41874">
              <w:t xml:space="preserve">En </w:t>
            </w:r>
            <w:r w:rsidRPr="00E41874">
              <w:rPr>
                <w:highlight w:val="yellow"/>
              </w:rPr>
              <w:t>jaune</w:t>
            </w:r>
            <w:r w:rsidRPr="00E41874">
              <w:t>, les modifications envisagées</w:t>
            </w:r>
            <w:r w:rsidR="00B005CC">
              <w:t xml:space="preserve"> dans l’a</w:t>
            </w:r>
            <w:r w:rsidR="00B005CC" w:rsidRPr="00B005CC">
              <w:t xml:space="preserve">vant-projet de loi </w:t>
            </w:r>
            <w:r w:rsidR="00B125AB">
              <w:t>« </w:t>
            </w:r>
            <w:r w:rsidR="00B005CC" w:rsidRPr="00B005CC">
              <w:t>conservation des données</w:t>
            </w:r>
            <w:r w:rsidR="00B125AB">
              <w:t> »</w:t>
            </w:r>
            <w:r>
              <w:t xml:space="preserve">. </w:t>
            </w:r>
            <w:r w:rsidRPr="00E41874">
              <w:t xml:space="preserve"> </w:t>
            </w:r>
          </w:p>
        </w:tc>
        <w:tc>
          <w:tcPr>
            <w:tcW w:w="6974" w:type="dxa"/>
          </w:tcPr>
          <w:p w14:paraId="2EAD2F06" w14:textId="44ADC0FA" w:rsidR="00A121BC" w:rsidRPr="00A121BC" w:rsidRDefault="00A121BC" w:rsidP="00B005CC">
            <w:pPr>
              <w:pStyle w:val="NoSpacing"/>
              <w:rPr>
                <w:lang w:val="nl-BE"/>
              </w:rPr>
            </w:pPr>
            <w:r w:rsidRPr="008E59BA">
              <w:rPr>
                <w:lang w:val="nl-BE"/>
              </w:rPr>
              <w:t xml:space="preserve">In het </w:t>
            </w:r>
            <w:r w:rsidRPr="008E59BA">
              <w:rPr>
                <w:highlight w:val="yellow"/>
                <w:lang w:val="nl-BE"/>
              </w:rPr>
              <w:t>geel</w:t>
            </w:r>
            <w:r w:rsidRPr="008E59BA">
              <w:rPr>
                <w:lang w:val="nl-BE"/>
              </w:rPr>
              <w:t xml:space="preserve"> de wijzigingen </w:t>
            </w:r>
            <w:r w:rsidRPr="00B005CC">
              <w:rPr>
                <w:szCs w:val="20"/>
                <w:lang w:val="nl-BE"/>
              </w:rPr>
              <w:t xml:space="preserve">beoogd </w:t>
            </w:r>
            <w:r w:rsidR="00B005CC" w:rsidRPr="00B005CC">
              <w:rPr>
                <w:szCs w:val="20"/>
                <w:lang w:val="nl-BE"/>
              </w:rPr>
              <w:t xml:space="preserve">in het voorontwerp van wet </w:t>
            </w:r>
            <w:r w:rsidR="00B125AB">
              <w:rPr>
                <w:szCs w:val="20"/>
                <w:lang w:val="nl-BE"/>
              </w:rPr>
              <w:t>“</w:t>
            </w:r>
            <w:r w:rsidR="00B005CC" w:rsidRPr="00B005CC">
              <w:rPr>
                <w:szCs w:val="20"/>
                <w:lang w:val="nl-BE"/>
              </w:rPr>
              <w:t>gegevensbewaring</w:t>
            </w:r>
            <w:r w:rsidR="00B125AB">
              <w:rPr>
                <w:szCs w:val="20"/>
                <w:lang w:val="nl-BE"/>
              </w:rPr>
              <w:t>”</w:t>
            </w:r>
            <w:r w:rsidR="00B005CC" w:rsidRPr="00B005CC">
              <w:rPr>
                <w:szCs w:val="20"/>
                <w:lang w:val="nl-BE"/>
              </w:rPr>
              <w:t>.</w:t>
            </w:r>
            <w:r>
              <w:rPr>
                <w:lang w:val="nl-BE"/>
              </w:rPr>
              <w:t xml:space="preserve"> </w:t>
            </w:r>
          </w:p>
        </w:tc>
      </w:tr>
      <w:tr w:rsidR="00A121BC" w:rsidRPr="00065173" w14:paraId="4B7C54C7" w14:textId="77777777" w:rsidTr="00A121BC">
        <w:tc>
          <w:tcPr>
            <w:tcW w:w="6974" w:type="dxa"/>
          </w:tcPr>
          <w:p w14:paraId="15618A36" w14:textId="23FEC870" w:rsidR="00A121BC" w:rsidRPr="00D32344" w:rsidRDefault="00A121BC" w:rsidP="000E00D5">
            <w:pPr>
              <w:pStyle w:val="NoSpacing"/>
            </w:pPr>
            <w:r w:rsidRPr="00E41874">
              <w:t>Ce qui est ajouté est surligné (</w:t>
            </w:r>
            <w:r w:rsidRPr="00E41874">
              <w:rPr>
                <w:u w:val="single"/>
              </w:rPr>
              <w:t>XXX</w:t>
            </w:r>
            <w:r w:rsidRPr="00E41874">
              <w:t>) et ce qui est supprimé est barré (</w:t>
            </w:r>
            <w:r w:rsidRPr="00E41874">
              <w:rPr>
                <w:strike/>
              </w:rPr>
              <w:t>XXX</w:t>
            </w:r>
            <w:r w:rsidRPr="00E41874">
              <w:t xml:space="preserve">). </w:t>
            </w:r>
          </w:p>
        </w:tc>
        <w:tc>
          <w:tcPr>
            <w:tcW w:w="6974" w:type="dxa"/>
          </w:tcPr>
          <w:p w14:paraId="59FFF58F" w14:textId="01A80B23" w:rsidR="00A121BC" w:rsidRPr="00A121BC" w:rsidRDefault="00A121BC" w:rsidP="00FA4321">
            <w:pPr>
              <w:pStyle w:val="NoSpacing"/>
              <w:rPr>
                <w:lang w:val="nl-BE"/>
              </w:rPr>
            </w:pPr>
            <w:r w:rsidRPr="008E59BA">
              <w:rPr>
                <w:lang w:val="nl-BE"/>
              </w:rPr>
              <w:t>Toevoegingen zijn onderstreept (</w:t>
            </w:r>
            <w:r w:rsidRPr="008E59BA">
              <w:rPr>
                <w:u w:val="single"/>
                <w:lang w:val="nl-BE"/>
              </w:rPr>
              <w:t>XXX</w:t>
            </w:r>
            <w:r w:rsidRPr="008E59BA">
              <w:rPr>
                <w:lang w:val="nl-BE"/>
              </w:rPr>
              <w:t>) en opheffingen zijn doorgehaald (</w:t>
            </w:r>
            <w:r w:rsidRPr="008E59BA">
              <w:rPr>
                <w:strike/>
                <w:lang w:val="nl-BE"/>
              </w:rPr>
              <w:t>XXX</w:t>
            </w:r>
            <w:r w:rsidRPr="008E59BA">
              <w:rPr>
                <w:lang w:val="nl-BE"/>
              </w:rPr>
              <w:t xml:space="preserve">). </w:t>
            </w:r>
          </w:p>
        </w:tc>
      </w:tr>
    </w:tbl>
    <w:p w14:paraId="28F3885D" w14:textId="3DCD57AC" w:rsidR="00B42EB4" w:rsidRPr="00065173" w:rsidRDefault="00B42EB4" w:rsidP="008D5E0B">
      <w:pPr>
        <w:pStyle w:val="BIPTHeading1"/>
      </w:pPr>
      <w:bookmarkStart w:id="2" w:name="_Toc70669815"/>
      <w:r w:rsidRPr="00065173">
        <w:t>Art. 14</w:t>
      </w:r>
      <w:bookmarkEnd w:id="2"/>
      <w:r w:rsidR="00065173" w:rsidRPr="00065173">
        <w:t xml:space="preserve"> (art. 16 du dispositif/v</w:t>
      </w:r>
      <w:r w:rsidR="00065173">
        <w:t xml:space="preserve">an het </w:t>
      </w:r>
      <w:proofErr w:type="spellStart"/>
      <w:r w:rsidR="00065173">
        <w:t>dispositief</w:t>
      </w:r>
      <w:proofErr w:type="spellEnd"/>
      <w:r w:rsidR="00065173">
        <w:t xml:space="preserve">) </w:t>
      </w:r>
    </w:p>
    <w:tbl>
      <w:tblPr>
        <w:tblStyle w:val="TableGrid"/>
        <w:tblW w:w="5000" w:type="pct"/>
        <w:tblLayout w:type="fixed"/>
        <w:tblLook w:val="04A0" w:firstRow="1" w:lastRow="0" w:firstColumn="1" w:lastColumn="0" w:noHBand="0" w:noVBand="1"/>
      </w:tblPr>
      <w:tblGrid>
        <w:gridCol w:w="4508"/>
        <w:gridCol w:w="4508"/>
      </w:tblGrid>
      <w:tr w:rsidR="000E00D5" w:rsidRPr="00065173" w14:paraId="0D39895A" w14:textId="77777777" w:rsidTr="000E00D5">
        <w:tc>
          <w:tcPr>
            <w:tcW w:w="2500" w:type="pct"/>
          </w:tcPr>
          <w:p w14:paraId="5C2C36E6" w14:textId="18A7ECB7" w:rsidR="000E00D5" w:rsidRPr="003E3522" w:rsidRDefault="000E00D5" w:rsidP="00007C85">
            <w:pPr>
              <w:jc w:val="both"/>
              <w:rPr>
                <w:rFonts w:cstheme="minorHAnsi"/>
                <w:color w:val="000000" w:themeColor="text1"/>
                <w:lang w:val="fr-FR"/>
              </w:rPr>
            </w:pPr>
            <w:r w:rsidRPr="000E00D5">
              <w:rPr>
                <w:rFonts w:cstheme="minorHAnsi"/>
                <w:b/>
                <w:bCs/>
                <w:color w:val="000000" w:themeColor="text1"/>
                <w:lang w:val="fr-FR"/>
              </w:rPr>
              <w:t>§ 2.</w:t>
            </w:r>
            <w:r w:rsidRPr="003E3522">
              <w:rPr>
                <w:rFonts w:cstheme="minorHAnsi"/>
                <w:color w:val="000000" w:themeColor="text1"/>
                <w:lang w:val="fr-FR"/>
              </w:rPr>
              <w:t xml:space="preserve"> Dans le cadre de ses compétences, l'Institut</w:t>
            </w:r>
            <w:r>
              <w:rPr>
                <w:rFonts w:cstheme="minorHAnsi"/>
                <w:color w:val="000000" w:themeColor="text1"/>
                <w:lang w:val="fr-FR"/>
              </w:rPr>
              <w:t> </w:t>
            </w:r>
            <w:r w:rsidRPr="003E3522">
              <w:rPr>
                <w:rFonts w:cstheme="minorHAnsi"/>
                <w:color w:val="000000" w:themeColor="text1"/>
                <w:lang w:val="fr-FR"/>
              </w:rPr>
              <w:t>:</w:t>
            </w:r>
          </w:p>
        </w:tc>
        <w:tc>
          <w:tcPr>
            <w:tcW w:w="2500" w:type="pct"/>
          </w:tcPr>
          <w:p w14:paraId="27430460" w14:textId="77777777" w:rsidR="000E00D5" w:rsidRPr="00B42EB4" w:rsidRDefault="000E00D5" w:rsidP="00007C85">
            <w:pPr>
              <w:jc w:val="both"/>
              <w:rPr>
                <w:rFonts w:cstheme="minorHAnsi"/>
                <w:color w:val="000000" w:themeColor="text1"/>
                <w:lang w:val="nl-BE"/>
              </w:rPr>
            </w:pPr>
            <w:r w:rsidRPr="000E00D5">
              <w:rPr>
                <w:rFonts w:cstheme="minorHAnsi"/>
                <w:b/>
                <w:bCs/>
                <w:color w:val="000000" w:themeColor="text1"/>
                <w:lang w:val="nl-BE"/>
              </w:rPr>
              <w:t>§ 2.</w:t>
            </w:r>
            <w:r w:rsidRPr="00B42EB4">
              <w:rPr>
                <w:rFonts w:cstheme="minorHAnsi"/>
                <w:color w:val="000000" w:themeColor="text1"/>
                <w:lang w:val="nl-BE"/>
              </w:rPr>
              <w:t xml:space="preserve"> In het kader van zijn bevoegdheden :</w:t>
            </w:r>
          </w:p>
        </w:tc>
      </w:tr>
      <w:tr w:rsidR="000E00D5" w:rsidRPr="00065173" w14:paraId="7BF3ACFD" w14:textId="70B8DF3C" w:rsidTr="000E00D5">
        <w:tc>
          <w:tcPr>
            <w:tcW w:w="2500" w:type="pct"/>
          </w:tcPr>
          <w:p w14:paraId="5F87CCA3" w14:textId="77777777" w:rsidR="000E00D5" w:rsidRPr="00B42EB4" w:rsidRDefault="000E00D5" w:rsidP="00007C85">
            <w:pPr>
              <w:rPr>
                <w:rFonts w:cstheme="minorHAnsi"/>
                <w:color w:val="000000" w:themeColor="text1"/>
                <w:lang w:val="nl-BE"/>
              </w:rPr>
            </w:pPr>
          </w:p>
        </w:tc>
        <w:tc>
          <w:tcPr>
            <w:tcW w:w="2500" w:type="pct"/>
          </w:tcPr>
          <w:p w14:paraId="77C2819F" w14:textId="77777777" w:rsidR="000E00D5" w:rsidRPr="00B42EB4" w:rsidRDefault="000E00D5" w:rsidP="00007C85">
            <w:pPr>
              <w:rPr>
                <w:rFonts w:cstheme="minorHAnsi"/>
                <w:color w:val="000000" w:themeColor="text1"/>
                <w:lang w:val="nl-BE"/>
              </w:rPr>
            </w:pPr>
          </w:p>
        </w:tc>
      </w:tr>
      <w:tr w:rsidR="000E00D5" w:rsidRPr="00065173" w14:paraId="4188C154" w14:textId="1576C417" w:rsidTr="000E00D5">
        <w:tc>
          <w:tcPr>
            <w:tcW w:w="2500" w:type="pct"/>
          </w:tcPr>
          <w:p w14:paraId="4E406C68" w14:textId="77777777" w:rsidR="000E00D5" w:rsidRPr="003E3522" w:rsidRDefault="000E00D5" w:rsidP="00007C85">
            <w:pPr>
              <w:jc w:val="both"/>
              <w:rPr>
                <w:rFonts w:cstheme="minorHAnsi"/>
                <w:color w:val="000000" w:themeColor="text1"/>
                <w:lang w:val="fr-FR"/>
              </w:rPr>
            </w:pPr>
            <w:r w:rsidRPr="003E3522">
              <w:rPr>
                <w:rFonts w:cstheme="minorHAnsi"/>
                <w:color w:val="000000" w:themeColor="text1"/>
                <w:lang w:val="fr-FR"/>
              </w:rPr>
              <w:t>1° peut organiser de manière non discriminatoire toute forme d'enquêtes et de consultations publiques; il doit organiser de telles consultations publiques afin qu'il tienne compte des points de vue des utilisateurs finals, des consommateurs (y compris notamment, des consommateurs handicapés), des fabricants et des entreprises qui fournissent des réseaux et/ou des services de communications électroniques sur toute question relative à tous les droits des utilisateurs finals et des consommateurs en ce qui concerne les services de communications électroniques accessibles au public, en particulier lorsqu'ils ont une incidence importante sur le marché; ces consultations garantissent que, lorsque l'Institut statue sur des questions relatives aux droits des utilisateurs finals et des consommateurs en ce qui concerne les services de communications électroniques accessibles au public, les intérêts des consommateurs en matière de communications électroniques sont dûment pris en compte ;</w:t>
            </w:r>
          </w:p>
        </w:tc>
        <w:tc>
          <w:tcPr>
            <w:tcW w:w="2500" w:type="pct"/>
          </w:tcPr>
          <w:p w14:paraId="188BAD6C" w14:textId="77777777" w:rsidR="000E00D5" w:rsidRPr="00B42EB4" w:rsidRDefault="000E00D5" w:rsidP="00007C85">
            <w:pPr>
              <w:jc w:val="both"/>
              <w:rPr>
                <w:rFonts w:cstheme="minorHAnsi"/>
                <w:color w:val="000000" w:themeColor="text1"/>
                <w:lang w:val="nl-BE"/>
              </w:rPr>
            </w:pPr>
            <w:r w:rsidRPr="00B42EB4">
              <w:rPr>
                <w:rFonts w:cstheme="minorHAnsi"/>
                <w:color w:val="000000" w:themeColor="text1"/>
                <w:lang w:val="nl-BE"/>
              </w:rPr>
              <w:t>1° kan het Instituut op een niet discriminerende wijze alle onderzoeken en openbare raadplegingen organiseren; het moet dergelijke openbare raadplegingen organiseren zodat het rekening houdt met de standpunten van de eindgebruikers, consumenten (met inbegrip van met name consumenten met een handicap), fabrikanten en ondernemingen die elektronische-communicatienetwerken en/of -diensten aanbieden over aangelegenheden die verband houden met alle eindgebruikers- en consumentenrechten met betrekking tot openbare elektronische-communicatiediensten, met name wanneer zij een belangrijke invloed hebben op de markt; deze raadplegingen waarborgen dat bij de besluitvorming van het Instituut inzake vraagstukken die verband houden met de rechten van eindgebruikers en consumenten wat openbare elektronische-communicatiediensten betreft het op passende wijze rekening houdt met de belangen van de consumenten op het gebied van elektronische communicatie;</w:t>
            </w:r>
          </w:p>
        </w:tc>
      </w:tr>
      <w:tr w:rsidR="000E00D5" w:rsidRPr="00065173" w14:paraId="26DC955D" w14:textId="1CFFF516" w:rsidTr="000E00D5">
        <w:tc>
          <w:tcPr>
            <w:tcW w:w="2500" w:type="pct"/>
          </w:tcPr>
          <w:p w14:paraId="366D9D17" w14:textId="77777777" w:rsidR="000E00D5" w:rsidRPr="00B42EB4" w:rsidRDefault="000E00D5" w:rsidP="00007C85">
            <w:pPr>
              <w:jc w:val="both"/>
              <w:rPr>
                <w:rFonts w:cstheme="minorHAnsi"/>
                <w:color w:val="000000" w:themeColor="text1"/>
                <w:lang w:val="nl-BE"/>
              </w:rPr>
            </w:pPr>
          </w:p>
        </w:tc>
        <w:tc>
          <w:tcPr>
            <w:tcW w:w="2500" w:type="pct"/>
          </w:tcPr>
          <w:p w14:paraId="26305293" w14:textId="77777777" w:rsidR="000E00D5" w:rsidRPr="00B42EB4" w:rsidRDefault="000E00D5" w:rsidP="00007C85">
            <w:pPr>
              <w:jc w:val="both"/>
              <w:rPr>
                <w:rFonts w:cstheme="minorHAnsi"/>
                <w:color w:val="000000" w:themeColor="text1"/>
                <w:lang w:val="nl-BE"/>
              </w:rPr>
            </w:pPr>
          </w:p>
        </w:tc>
      </w:tr>
      <w:tr w:rsidR="000E00D5" w:rsidRPr="00065173" w14:paraId="475388AE" w14:textId="5733922E" w:rsidTr="000E00D5">
        <w:tc>
          <w:tcPr>
            <w:tcW w:w="2500" w:type="pct"/>
          </w:tcPr>
          <w:p w14:paraId="775AE0F5" w14:textId="77777777" w:rsidR="000E00D5" w:rsidRPr="003E3522" w:rsidRDefault="000E00D5" w:rsidP="00007C85">
            <w:pPr>
              <w:jc w:val="both"/>
              <w:rPr>
                <w:rFonts w:cstheme="minorHAnsi"/>
                <w:color w:val="000000" w:themeColor="text1"/>
              </w:rPr>
            </w:pPr>
            <w:r w:rsidRPr="003E3522">
              <w:rPr>
                <w:rFonts w:cstheme="minorHAnsi"/>
                <w:color w:val="000000" w:themeColor="text1"/>
                <w:lang w:val="fr-FR"/>
              </w:rPr>
              <w:t>2° peut exiger, par demande motivée, de toute personne concernée toute information utile. L'Institut fixe le délai de communication des informations demandées ;</w:t>
            </w:r>
          </w:p>
        </w:tc>
        <w:tc>
          <w:tcPr>
            <w:tcW w:w="2500" w:type="pct"/>
          </w:tcPr>
          <w:p w14:paraId="7474FE7A" w14:textId="77777777" w:rsidR="000E00D5" w:rsidRPr="00B42EB4" w:rsidRDefault="000E00D5" w:rsidP="00007C85">
            <w:pPr>
              <w:jc w:val="both"/>
              <w:rPr>
                <w:rFonts w:cstheme="minorHAnsi"/>
                <w:color w:val="000000" w:themeColor="text1"/>
                <w:lang w:val="nl-BE"/>
              </w:rPr>
            </w:pPr>
            <w:r w:rsidRPr="00B42EB4">
              <w:rPr>
                <w:rFonts w:cstheme="minorHAnsi"/>
                <w:color w:val="000000" w:themeColor="text1"/>
                <w:lang w:val="nl-BE"/>
              </w:rPr>
              <w:t xml:space="preserve">2° kan het Instituut van elke betrokken persoon op gemotiveerde wijze alle nuttige informatie opvragen. Het Instituut bepaalt de termijn </w:t>
            </w:r>
            <w:r w:rsidRPr="00B42EB4">
              <w:rPr>
                <w:rFonts w:cstheme="minorHAnsi"/>
                <w:color w:val="000000" w:themeColor="text1"/>
                <w:lang w:val="nl-BE"/>
              </w:rPr>
              <w:lastRenderedPageBreak/>
              <w:t>waarbinnen de inlichtingen moeten worden meegedeeld;</w:t>
            </w:r>
          </w:p>
        </w:tc>
      </w:tr>
      <w:tr w:rsidR="000E00D5" w:rsidRPr="00065173" w14:paraId="2F9FAE4B" w14:textId="5831163D" w:rsidTr="000E00D5">
        <w:tc>
          <w:tcPr>
            <w:tcW w:w="2500" w:type="pct"/>
          </w:tcPr>
          <w:p w14:paraId="6AAF4683" w14:textId="77777777" w:rsidR="000E00D5" w:rsidRPr="00B42EB4" w:rsidRDefault="000E00D5" w:rsidP="00007C85">
            <w:pPr>
              <w:jc w:val="both"/>
              <w:rPr>
                <w:rFonts w:cstheme="minorHAnsi"/>
                <w:color w:val="000000" w:themeColor="text1"/>
                <w:lang w:val="nl-BE"/>
              </w:rPr>
            </w:pPr>
          </w:p>
        </w:tc>
        <w:tc>
          <w:tcPr>
            <w:tcW w:w="2500" w:type="pct"/>
          </w:tcPr>
          <w:p w14:paraId="6130FE7B" w14:textId="77777777" w:rsidR="000E00D5" w:rsidRPr="00B42EB4" w:rsidRDefault="000E00D5" w:rsidP="00007C85">
            <w:pPr>
              <w:jc w:val="both"/>
              <w:rPr>
                <w:rFonts w:cstheme="minorHAnsi"/>
                <w:color w:val="000000" w:themeColor="text1"/>
                <w:lang w:val="nl-BE"/>
              </w:rPr>
            </w:pPr>
          </w:p>
        </w:tc>
      </w:tr>
      <w:tr w:rsidR="000E00D5" w:rsidRPr="00065173" w14:paraId="7FD33F6C" w14:textId="77777777" w:rsidTr="000E00D5">
        <w:tc>
          <w:tcPr>
            <w:tcW w:w="2500" w:type="pct"/>
          </w:tcPr>
          <w:p w14:paraId="58F900EC" w14:textId="76A1DFBD" w:rsidR="000E00D5" w:rsidRPr="00710134" w:rsidRDefault="000E00D5" w:rsidP="009F36E5">
            <w:pPr>
              <w:jc w:val="both"/>
              <w:rPr>
                <w:rFonts w:cstheme="minorHAnsi"/>
                <w:color w:val="000000" w:themeColor="text1"/>
                <w:u w:val="single"/>
              </w:rPr>
            </w:pPr>
            <w:r w:rsidRPr="00710134">
              <w:rPr>
                <w:rFonts w:cstheme="minorHAnsi"/>
                <w:color w:val="000000" w:themeColor="text1"/>
                <w:highlight w:val="yellow"/>
                <w:u w:val="single"/>
              </w:rPr>
              <w:t xml:space="preserve">2°/1 peut </w:t>
            </w:r>
            <w:r w:rsidRPr="006A7501">
              <w:rPr>
                <w:rFonts w:cstheme="minorHAnsi"/>
                <w:color w:val="000000" w:themeColor="text1"/>
                <w:highlight w:val="yellow"/>
                <w:u w:val="single"/>
              </w:rPr>
              <w:t xml:space="preserve">demander aux opérateurs </w:t>
            </w:r>
            <w:r w:rsidRPr="00710134">
              <w:rPr>
                <w:rFonts w:cstheme="minorHAnsi"/>
                <w:color w:val="000000" w:themeColor="text1"/>
                <w:highlight w:val="yellow"/>
                <w:u w:val="single"/>
              </w:rPr>
              <w:t>les données d’identification, de trafic ou de localisation</w:t>
            </w:r>
            <w:r w:rsidRPr="006A7501">
              <w:rPr>
                <w:rFonts w:cstheme="minorHAnsi"/>
                <w:color w:val="000000" w:themeColor="text1"/>
                <w:highlight w:val="yellow"/>
                <w:u w:val="single"/>
              </w:rPr>
              <w:t>, au sens de la loi du 13 juin 2005 relative aux communications électroniques,</w:t>
            </w:r>
            <w:r w:rsidRPr="00710134">
              <w:rPr>
                <w:rFonts w:cstheme="minorHAnsi"/>
                <w:color w:val="000000" w:themeColor="text1"/>
                <w:highlight w:val="yellow"/>
                <w:u w:val="single"/>
              </w:rPr>
              <w:t xml:space="preserve"> </w:t>
            </w:r>
            <w:r w:rsidRPr="006A7501">
              <w:rPr>
                <w:rFonts w:cstheme="minorHAnsi"/>
                <w:color w:val="000000" w:themeColor="text1"/>
                <w:highlight w:val="yellow"/>
                <w:u w:val="single"/>
              </w:rPr>
              <w:t>pour autant que cela soit nécessaire à l’accomplissement de l’une de ses missions ;</w:t>
            </w:r>
          </w:p>
        </w:tc>
        <w:tc>
          <w:tcPr>
            <w:tcW w:w="2500" w:type="pct"/>
          </w:tcPr>
          <w:p w14:paraId="63A5516C" w14:textId="3B115AE2" w:rsidR="000E00D5" w:rsidRPr="00515F49" w:rsidRDefault="000E00D5" w:rsidP="009F36E5">
            <w:pPr>
              <w:jc w:val="both"/>
              <w:rPr>
                <w:rFonts w:cstheme="minorHAnsi"/>
                <w:color w:val="000000" w:themeColor="text1"/>
                <w:lang w:val="nl-BE"/>
              </w:rPr>
            </w:pPr>
            <w:r w:rsidRPr="00B3496F">
              <w:rPr>
                <w:rFonts w:cstheme="minorHAnsi"/>
                <w:color w:val="000000" w:themeColor="text1"/>
                <w:highlight w:val="yellow"/>
                <w:u w:val="single"/>
                <w:lang w:val="nl-BE"/>
              </w:rPr>
              <w:t>2°/1 kan het Instituut van de operatoren de identificatie-, verkeers- of locatiegegevens vragen in de zin van de wet van 13 juni 2005 betreffende de elektronische communicatie, op voorwaarde dat dat nodig is voor de vervulling van een van zijn opdrachten;</w:t>
            </w:r>
          </w:p>
        </w:tc>
      </w:tr>
      <w:tr w:rsidR="000E00D5" w:rsidRPr="00065173" w14:paraId="7D2EAE54" w14:textId="77777777" w:rsidTr="000E00D5">
        <w:tc>
          <w:tcPr>
            <w:tcW w:w="2500" w:type="pct"/>
          </w:tcPr>
          <w:p w14:paraId="7AE1EB5D" w14:textId="77777777" w:rsidR="000E00D5" w:rsidRPr="00515F49" w:rsidRDefault="000E00D5" w:rsidP="009F36E5">
            <w:pPr>
              <w:jc w:val="both"/>
              <w:rPr>
                <w:rFonts w:cstheme="minorHAnsi"/>
                <w:color w:val="000000" w:themeColor="text1"/>
                <w:lang w:val="nl-BE"/>
              </w:rPr>
            </w:pPr>
          </w:p>
        </w:tc>
        <w:tc>
          <w:tcPr>
            <w:tcW w:w="2500" w:type="pct"/>
          </w:tcPr>
          <w:p w14:paraId="480F5714" w14:textId="77777777" w:rsidR="000E00D5" w:rsidRPr="00FE11D9" w:rsidRDefault="000E00D5" w:rsidP="009F36E5">
            <w:pPr>
              <w:jc w:val="both"/>
              <w:rPr>
                <w:rFonts w:cstheme="minorHAnsi"/>
                <w:color w:val="000000" w:themeColor="text1"/>
                <w:lang w:val="nl-BE"/>
              </w:rPr>
            </w:pPr>
          </w:p>
        </w:tc>
      </w:tr>
      <w:tr w:rsidR="000E00D5" w:rsidRPr="00065173" w14:paraId="227A8A31" w14:textId="1C3E5566" w:rsidTr="000E00D5">
        <w:tc>
          <w:tcPr>
            <w:tcW w:w="2500" w:type="pct"/>
          </w:tcPr>
          <w:p w14:paraId="1BEE4585" w14:textId="77777777"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t>3° coopère avec et communique de l'information à :</w:t>
            </w:r>
          </w:p>
        </w:tc>
        <w:tc>
          <w:tcPr>
            <w:tcW w:w="2500" w:type="pct"/>
          </w:tcPr>
          <w:p w14:paraId="1EEDC3BA" w14:textId="77777777"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3° werkt het Instituut samen met en verstrekt het informatie aan:</w:t>
            </w:r>
          </w:p>
        </w:tc>
      </w:tr>
      <w:tr w:rsidR="000E00D5" w:rsidRPr="00065173" w14:paraId="243114D3" w14:textId="3911F452" w:rsidTr="000E00D5">
        <w:tc>
          <w:tcPr>
            <w:tcW w:w="2500" w:type="pct"/>
          </w:tcPr>
          <w:p w14:paraId="5214488D" w14:textId="77777777" w:rsidR="000E00D5" w:rsidRPr="00B42EB4" w:rsidRDefault="000E00D5" w:rsidP="009F36E5">
            <w:pPr>
              <w:jc w:val="both"/>
              <w:rPr>
                <w:rFonts w:cstheme="minorHAnsi"/>
                <w:color w:val="000000" w:themeColor="text1"/>
                <w:lang w:val="nl-BE"/>
              </w:rPr>
            </w:pPr>
          </w:p>
        </w:tc>
        <w:tc>
          <w:tcPr>
            <w:tcW w:w="2500" w:type="pct"/>
          </w:tcPr>
          <w:p w14:paraId="6F301F63" w14:textId="77777777" w:rsidR="000E00D5" w:rsidRPr="00B42EB4" w:rsidRDefault="000E00D5" w:rsidP="009F36E5">
            <w:pPr>
              <w:jc w:val="both"/>
              <w:rPr>
                <w:rFonts w:cstheme="minorHAnsi"/>
                <w:color w:val="000000" w:themeColor="text1"/>
                <w:lang w:val="nl-BE"/>
              </w:rPr>
            </w:pPr>
          </w:p>
        </w:tc>
      </w:tr>
      <w:tr w:rsidR="000E00D5" w:rsidRPr="00065173" w14:paraId="58398F92" w14:textId="48149B6C" w:rsidTr="000E00D5">
        <w:tc>
          <w:tcPr>
            <w:tcW w:w="2500" w:type="pct"/>
          </w:tcPr>
          <w:p w14:paraId="09F89FDF" w14:textId="786DA6EE" w:rsidR="000E00D5" w:rsidRPr="003E3522" w:rsidRDefault="000E00D5" w:rsidP="009F36E5">
            <w:pPr>
              <w:pStyle w:val="ListParagraph"/>
              <w:ind w:left="0"/>
              <w:jc w:val="both"/>
              <w:rPr>
                <w:rFonts w:eastAsia="Times New Roman" w:cstheme="minorHAnsi"/>
                <w:bCs/>
                <w:color w:val="000000" w:themeColor="text1"/>
                <w:lang w:val="fr-FR" w:eastAsia="nl-BE"/>
              </w:rPr>
            </w:pPr>
            <w:r w:rsidRPr="003E3522">
              <w:rPr>
                <w:rFonts w:eastAsia="Times New Roman" w:cstheme="minorHAnsi"/>
                <w:bCs/>
                <w:color w:val="000000" w:themeColor="text1"/>
                <w:lang w:val="fr-FR" w:eastAsia="nl-BE"/>
              </w:rPr>
              <w:t>a) la Commission européenne, l'ENISA, l'Office et à l'ORECE ;</w:t>
            </w:r>
          </w:p>
        </w:tc>
        <w:tc>
          <w:tcPr>
            <w:tcW w:w="2500" w:type="pct"/>
          </w:tcPr>
          <w:p w14:paraId="2219F0DA" w14:textId="77777777" w:rsidR="000E00D5" w:rsidRPr="00B42EB4" w:rsidRDefault="000E00D5" w:rsidP="009F36E5">
            <w:pPr>
              <w:pStyle w:val="ListParagraph"/>
              <w:ind w:left="0"/>
              <w:jc w:val="both"/>
              <w:rPr>
                <w:rFonts w:eastAsia="Times New Roman" w:cstheme="minorHAnsi"/>
                <w:bCs/>
                <w:color w:val="000000" w:themeColor="text1"/>
                <w:lang w:val="nl-BE" w:eastAsia="nl-BE"/>
              </w:rPr>
            </w:pPr>
            <w:r w:rsidRPr="00B42EB4">
              <w:rPr>
                <w:rFonts w:eastAsia="Times New Roman" w:cstheme="minorHAnsi"/>
                <w:bCs/>
                <w:color w:val="000000" w:themeColor="text1"/>
                <w:lang w:val="nl-BE" w:eastAsia="nl-BE"/>
              </w:rPr>
              <w:t>a) de Europese Commissie, ENISA, het Bureau en aan BEREC;</w:t>
            </w:r>
          </w:p>
        </w:tc>
      </w:tr>
      <w:tr w:rsidR="000E00D5" w:rsidRPr="00065173" w14:paraId="561B2764" w14:textId="3846A5C3" w:rsidTr="000E00D5">
        <w:tc>
          <w:tcPr>
            <w:tcW w:w="2500" w:type="pct"/>
          </w:tcPr>
          <w:p w14:paraId="3345AC9B" w14:textId="77777777" w:rsidR="000E00D5" w:rsidRPr="00B42EB4" w:rsidRDefault="000E00D5" w:rsidP="009F36E5">
            <w:pPr>
              <w:jc w:val="both"/>
              <w:rPr>
                <w:rFonts w:cstheme="minorHAnsi"/>
                <w:color w:val="000000" w:themeColor="text1"/>
                <w:lang w:val="nl-BE"/>
              </w:rPr>
            </w:pPr>
          </w:p>
        </w:tc>
        <w:tc>
          <w:tcPr>
            <w:tcW w:w="2500" w:type="pct"/>
          </w:tcPr>
          <w:p w14:paraId="12FB849D" w14:textId="77777777" w:rsidR="000E00D5" w:rsidRPr="00B42EB4" w:rsidRDefault="000E00D5" w:rsidP="009F36E5">
            <w:pPr>
              <w:jc w:val="both"/>
              <w:rPr>
                <w:rFonts w:cstheme="minorHAnsi"/>
                <w:color w:val="000000" w:themeColor="text1"/>
                <w:lang w:val="nl-BE"/>
              </w:rPr>
            </w:pPr>
          </w:p>
        </w:tc>
      </w:tr>
      <w:tr w:rsidR="000E00D5" w:rsidRPr="00065173" w14:paraId="01B2B8E6" w14:textId="29D72239" w:rsidTr="000E00D5">
        <w:tc>
          <w:tcPr>
            <w:tcW w:w="2500" w:type="pct"/>
          </w:tcPr>
          <w:p w14:paraId="6AC3158C" w14:textId="77777777"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t>b) les autorités de régulation étrangères en matière de services postaux et de télécommunications ;</w:t>
            </w:r>
          </w:p>
        </w:tc>
        <w:tc>
          <w:tcPr>
            <w:tcW w:w="2500" w:type="pct"/>
          </w:tcPr>
          <w:p w14:paraId="591E7D1D" w14:textId="77777777"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b) de buitenlandse regulerende instanties voor postdiensten en telecommunicatie;</w:t>
            </w:r>
          </w:p>
        </w:tc>
      </w:tr>
      <w:tr w:rsidR="000E00D5" w:rsidRPr="00065173" w14:paraId="0BA0CB5F" w14:textId="2675E411" w:rsidTr="000E00D5">
        <w:tc>
          <w:tcPr>
            <w:tcW w:w="2500" w:type="pct"/>
          </w:tcPr>
          <w:p w14:paraId="406C1098" w14:textId="77777777" w:rsidR="000E00D5" w:rsidRPr="00B42EB4" w:rsidRDefault="000E00D5" w:rsidP="009F36E5">
            <w:pPr>
              <w:jc w:val="both"/>
              <w:rPr>
                <w:rFonts w:cstheme="minorHAnsi"/>
                <w:color w:val="000000" w:themeColor="text1"/>
                <w:lang w:val="nl-BE"/>
              </w:rPr>
            </w:pPr>
          </w:p>
        </w:tc>
        <w:tc>
          <w:tcPr>
            <w:tcW w:w="2500" w:type="pct"/>
          </w:tcPr>
          <w:p w14:paraId="0CC5642D" w14:textId="77777777" w:rsidR="000E00D5" w:rsidRPr="00B42EB4" w:rsidRDefault="000E00D5" w:rsidP="009F36E5">
            <w:pPr>
              <w:jc w:val="both"/>
              <w:rPr>
                <w:rFonts w:cstheme="minorHAnsi"/>
                <w:color w:val="000000" w:themeColor="text1"/>
                <w:lang w:val="nl-BE"/>
              </w:rPr>
            </w:pPr>
          </w:p>
        </w:tc>
      </w:tr>
      <w:tr w:rsidR="000E00D5" w:rsidRPr="00065173" w14:paraId="0FD61FBB" w14:textId="0BAE56AE" w:rsidTr="000E00D5">
        <w:tc>
          <w:tcPr>
            <w:tcW w:w="2500" w:type="pct"/>
          </w:tcPr>
          <w:p w14:paraId="32A6B7C1" w14:textId="77777777"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t>c) les autorités de régulation des autres secteurs économiques ;</w:t>
            </w:r>
          </w:p>
        </w:tc>
        <w:tc>
          <w:tcPr>
            <w:tcW w:w="2500" w:type="pct"/>
          </w:tcPr>
          <w:p w14:paraId="40E44273" w14:textId="77777777"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c) de regulerende instanties in de overige economische sectoren;</w:t>
            </w:r>
          </w:p>
        </w:tc>
      </w:tr>
      <w:tr w:rsidR="000E00D5" w:rsidRPr="00065173" w14:paraId="6DE05547" w14:textId="43CD1373" w:rsidTr="000E00D5">
        <w:tc>
          <w:tcPr>
            <w:tcW w:w="2500" w:type="pct"/>
          </w:tcPr>
          <w:p w14:paraId="248BF644" w14:textId="77777777" w:rsidR="000E00D5" w:rsidRPr="00B42EB4" w:rsidRDefault="000E00D5" w:rsidP="009F36E5">
            <w:pPr>
              <w:jc w:val="both"/>
              <w:rPr>
                <w:rFonts w:cstheme="minorHAnsi"/>
                <w:color w:val="000000" w:themeColor="text1"/>
                <w:lang w:val="nl-BE"/>
              </w:rPr>
            </w:pPr>
          </w:p>
        </w:tc>
        <w:tc>
          <w:tcPr>
            <w:tcW w:w="2500" w:type="pct"/>
          </w:tcPr>
          <w:p w14:paraId="2873646C" w14:textId="77777777" w:rsidR="000E00D5" w:rsidRPr="00B42EB4" w:rsidRDefault="000E00D5" w:rsidP="009F36E5">
            <w:pPr>
              <w:jc w:val="both"/>
              <w:rPr>
                <w:rFonts w:cstheme="minorHAnsi"/>
                <w:color w:val="000000" w:themeColor="text1"/>
                <w:lang w:val="nl-BE"/>
              </w:rPr>
            </w:pPr>
          </w:p>
        </w:tc>
      </w:tr>
      <w:tr w:rsidR="000E00D5" w:rsidRPr="00065173" w14:paraId="07F40FA1" w14:textId="39414D58" w:rsidTr="000E00D5">
        <w:tc>
          <w:tcPr>
            <w:tcW w:w="2500" w:type="pct"/>
          </w:tcPr>
          <w:p w14:paraId="52348106" w14:textId="77777777"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t>d) les services publics fédéraux en charge de la protection des consommateurs ;</w:t>
            </w:r>
          </w:p>
        </w:tc>
        <w:tc>
          <w:tcPr>
            <w:tcW w:w="2500" w:type="pct"/>
          </w:tcPr>
          <w:p w14:paraId="4346A350" w14:textId="77777777"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d) de federale overheidsdiensten die belast zijn met consumentenbescherming;</w:t>
            </w:r>
          </w:p>
        </w:tc>
      </w:tr>
      <w:tr w:rsidR="000E00D5" w:rsidRPr="00065173" w14:paraId="3E0E2DC7" w14:textId="6AF394F3" w:rsidTr="000E00D5">
        <w:tc>
          <w:tcPr>
            <w:tcW w:w="2500" w:type="pct"/>
          </w:tcPr>
          <w:p w14:paraId="3908459E" w14:textId="77777777" w:rsidR="000E00D5" w:rsidRPr="00B42EB4" w:rsidRDefault="000E00D5" w:rsidP="009F36E5">
            <w:pPr>
              <w:rPr>
                <w:rFonts w:cstheme="minorHAnsi"/>
                <w:color w:val="000000" w:themeColor="text1"/>
                <w:lang w:val="nl-BE"/>
              </w:rPr>
            </w:pPr>
          </w:p>
        </w:tc>
        <w:tc>
          <w:tcPr>
            <w:tcW w:w="2500" w:type="pct"/>
          </w:tcPr>
          <w:p w14:paraId="0D6385BC" w14:textId="77777777" w:rsidR="000E00D5" w:rsidRPr="00B42EB4" w:rsidRDefault="000E00D5" w:rsidP="009F36E5">
            <w:pPr>
              <w:rPr>
                <w:rFonts w:cstheme="minorHAnsi"/>
                <w:color w:val="000000" w:themeColor="text1"/>
                <w:lang w:val="nl-BE"/>
              </w:rPr>
            </w:pPr>
          </w:p>
        </w:tc>
      </w:tr>
      <w:tr w:rsidR="000E00D5" w:rsidRPr="00065173" w14:paraId="19D4575C" w14:textId="0B15993A" w:rsidTr="000E00D5">
        <w:tc>
          <w:tcPr>
            <w:tcW w:w="2500" w:type="pct"/>
          </w:tcPr>
          <w:p w14:paraId="40FEF2C6" w14:textId="77777777"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t>e) les autorités belges en charge de la concurrence ;</w:t>
            </w:r>
          </w:p>
        </w:tc>
        <w:tc>
          <w:tcPr>
            <w:tcW w:w="2500" w:type="pct"/>
          </w:tcPr>
          <w:p w14:paraId="0FB47AB6" w14:textId="77777777"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e) de Belgische instanties die belast zijn met mededinging.</w:t>
            </w:r>
          </w:p>
        </w:tc>
      </w:tr>
      <w:tr w:rsidR="000E00D5" w:rsidRPr="00065173" w14:paraId="2676A568" w14:textId="69677B86" w:rsidTr="000E00D5">
        <w:tc>
          <w:tcPr>
            <w:tcW w:w="2500" w:type="pct"/>
          </w:tcPr>
          <w:p w14:paraId="02282397" w14:textId="77777777" w:rsidR="000E00D5" w:rsidRPr="00B42EB4" w:rsidRDefault="000E00D5" w:rsidP="009F36E5">
            <w:pPr>
              <w:rPr>
                <w:rFonts w:cstheme="minorHAnsi"/>
                <w:color w:val="000000" w:themeColor="text1"/>
                <w:lang w:val="nl-BE"/>
              </w:rPr>
            </w:pPr>
          </w:p>
        </w:tc>
        <w:tc>
          <w:tcPr>
            <w:tcW w:w="2500" w:type="pct"/>
          </w:tcPr>
          <w:p w14:paraId="58EA100D" w14:textId="77777777" w:rsidR="000E00D5" w:rsidRPr="00B42EB4" w:rsidRDefault="000E00D5" w:rsidP="009F36E5">
            <w:pPr>
              <w:rPr>
                <w:rFonts w:cstheme="minorHAnsi"/>
                <w:color w:val="000000" w:themeColor="text1"/>
                <w:lang w:val="nl-BE"/>
              </w:rPr>
            </w:pPr>
          </w:p>
        </w:tc>
      </w:tr>
      <w:tr w:rsidR="000E00D5" w:rsidRPr="00065173" w14:paraId="4F1CBEC6" w14:textId="49CF8294" w:rsidTr="000E00D5">
        <w:tc>
          <w:tcPr>
            <w:tcW w:w="2500" w:type="pct"/>
          </w:tcPr>
          <w:p w14:paraId="30B459BA" w14:textId="77777777"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t>Après consultation de ces autorités et de l'Institut et sur proposition conjointe du ministre de l'Economie et du ministre, le Roi peut fixer les modalités de la coopération, de la consultation et de l'échange d'informations entre ces instances et l'Institut;</w:t>
            </w:r>
          </w:p>
        </w:tc>
        <w:tc>
          <w:tcPr>
            <w:tcW w:w="2500" w:type="pct"/>
          </w:tcPr>
          <w:p w14:paraId="11E31156" w14:textId="77777777"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De Koning kan, na raadpleging van deze instanties en van het Instituut en op gezamenlijk voorstel van de minister die bevoegd is voor Economie en van de minister de nadere regels vastleggen inzake samenwerking, raadpleging en uitwisseling van informatie tussen deze instanties en het Instituut;</w:t>
            </w:r>
          </w:p>
        </w:tc>
      </w:tr>
      <w:tr w:rsidR="000E00D5" w:rsidRPr="00065173" w14:paraId="71A020CF" w14:textId="4F4A436B" w:rsidTr="000E00D5">
        <w:tc>
          <w:tcPr>
            <w:tcW w:w="2500" w:type="pct"/>
          </w:tcPr>
          <w:p w14:paraId="1CCF840E" w14:textId="77777777" w:rsidR="000E00D5" w:rsidRPr="00B42EB4" w:rsidRDefault="000E00D5" w:rsidP="009F36E5">
            <w:pPr>
              <w:rPr>
                <w:rFonts w:cstheme="minorHAnsi"/>
                <w:color w:val="000000" w:themeColor="text1"/>
                <w:lang w:val="nl-BE"/>
              </w:rPr>
            </w:pPr>
          </w:p>
        </w:tc>
        <w:tc>
          <w:tcPr>
            <w:tcW w:w="2500" w:type="pct"/>
          </w:tcPr>
          <w:p w14:paraId="6009C38F" w14:textId="77777777" w:rsidR="000E00D5" w:rsidRPr="00B42EB4" w:rsidRDefault="000E00D5" w:rsidP="009F36E5">
            <w:pPr>
              <w:rPr>
                <w:rFonts w:cstheme="minorHAnsi"/>
                <w:color w:val="000000" w:themeColor="text1"/>
                <w:lang w:val="nl-BE"/>
              </w:rPr>
            </w:pPr>
          </w:p>
        </w:tc>
      </w:tr>
      <w:tr w:rsidR="000E00D5" w:rsidRPr="00065173" w14:paraId="57E8FAE4" w14:textId="52171458" w:rsidTr="000E00D5">
        <w:tc>
          <w:tcPr>
            <w:tcW w:w="2500" w:type="pct"/>
          </w:tcPr>
          <w:p w14:paraId="27179991" w14:textId="77777777"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t>f) les autorités régulatrices des Communautés et des Régions, selon les modalités convenues dans les accords de coopération avec ces niveaux de pouvoir;</w:t>
            </w:r>
          </w:p>
        </w:tc>
        <w:tc>
          <w:tcPr>
            <w:tcW w:w="2500" w:type="pct"/>
          </w:tcPr>
          <w:p w14:paraId="4F6B0699" w14:textId="77777777"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f) de regulerende instanties van Gemeenschappen en Gewesten en dit volgens de nadere regels die werden afgesproken in samenwerkingsakkoorden met deze beleidsniveaus;</w:t>
            </w:r>
          </w:p>
        </w:tc>
      </w:tr>
      <w:tr w:rsidR="000E00D5" w:rsidRPr="00065173" w14:paraId="563D4583" w14:textId="3ECDA259" w:rsidTr="000E00D5">
        <w:tc>
          <w:tcPr>
            <w:tcW w:w="2500" w:type="pct"/>
          </w:tcPr>
          <w:p w14:paraId="1FEDD878" w14:textId="77777777" w:rsidR="000E00D5" w:rsidRPr="00B42EB4" w:rsidRDefault="000E00D5" w:rsidP="009F36E5">
            <w:pPr>
              <w:rPr>
                <w:rFonts w:cstheme="minorHAnsi"/>
                <w:color w:val="000000" w:themeColor="text1"/>
                <w:lang w:val="nl-BE"/>
              </w:rPr>
            </w:pPr>
          </w:p>
        </w:tc>
        <w:tc>
          <w:tcPr>
            <w:tcW w:w="2500" w:type="pct"/>
          </w:tcPr>
          <w:p w14:paraId="02962CB1" w14:textId="77777777" w:rsidR="000E00D5" w:rsidRPr="00B42EB4" w:rsidRDefault="000E00D5" w:rsidP="009F36E5">
            <w:pPr>
              <w:rPr>
                <w:rFonts w:cstheme="minorHAnsi"/>
                <w:color w:val="000000" w:themeColor="text1"/>
                <w:lang w:val="nl-BE"/>
              </w:rPr>
            </w:pPr>
          </w:p>
        </w:tc>
      </w:tr>
      <w:tr w:rsidR="000E00D5" w:rsidRPr="00065173" w14:paraId="3674035E" w14:textId="55C7C004" w:rsidTr="000E00D5">
        <w:tc>
          <w:tcPr>
            <w:tcW w:w="2500" w:type="pct"/>
          </w:tcPr>
          <w:p w14:paraId="07A089D0" w14:textId="77777777"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t>g) les services publics qui ont une compétence en matière de sécurité publique, ou de sécurité et protection civile, ou de défense civile, ou de planification de crise, ou de sécurité ou de protection du potentiel économique et scientifique du pays ;</w:t>
            </w:r>
          </w:p>
        </w:tc>
        <w:tc>
          <w:tcPr>
            <w:tcW w:w="2500" w:type="pct"/>
          </w:tcPr>
          <w:p w14:paraId="34D3A52A" w14:textId="77777777"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g) de openbare diensten die bevoegd zijn op het stuk van openbare veiligheid, of civiele veiligheid en bescherming, of civiele verdediging, of crisisplanning, of veiligheid of bescherming van het economische en wetenschappelijke potentieel van het land;</w:t>
            </w:r>
          </w:p>
        </w:tc>
      </w:tr>
      <w:tr w:rsidR="000E00D5" w:rsidRPr="00065173" w14:paraId="41C9DF66" w14:textId="027A00B6" w:rsidTr="000E00D5">
        <w:tc>
          <w:tcPr>
            <w:tcW w:w="2500" w:type="pct"/>
          </w:tcPr>
          <w:p w14:paraId="1BB1EF16" w14:textId="77777777" w:rsidR="000E00D5" w:rsidRPr="00B42EB4" w:rsidRDefault="000E00D5" w:rsidP="009F36E5">
            <w:pPr>
              <w:jc w:val="both"/>
              <w:rPr>
                <w:rFonts w:cstheme="minorHAnsi"/>
                <w:color w:val="000000" w:themeColor="text1"/>
                <w:lang w:val="nl-BE"/>
              </w:rPr>
            </w:pPr>
          </w:p>
        </w:tc>
        <w:tc>
          <w:tcPr>
            <w:tcW w:w="2500" w:type="pct"/>
          </w:tcPr>
          <w:p w14:paraId="142DF2D7" w14:textId="77777777" w:rsidR="000E00D5" w:rsidRPr="00B42EB4" w:rsidRDefault="000E00D5" w:rsidP="009F36E5">
            <w:pPr>
              <w:jc w:val="both"/>
              <w:rPr>
                <w:rFonts w:cstheme="minorHAnsi"/>
                <w:color w:val="000000" w:themeColor="text1"/>
                <w:lang w:val="nl-BE"/>
              </w:rPr>
            </w:pPr>
          </w:p>
        </w:tc>
      </w:tr>
      <w:tr w:rsidR="000E00D5" w:rsidRPr="00065173" w14:paraId="44194808" w14:textId="3A67BF26" w:rsidTr="000E00D5">
        <w:tc>
          <w:tcPr>
            <w:tcW w:w="2500" w:type="pct"/>
          </w:tcPr>
          <w:p w14:paraId="6478D5AE" w14:textId="6515F5F6" w:rsidR="000E00D5" w:rsidRPr="003E3522" w:rsidRDefault="000E00D5" w:rsidP="009F36E5">
            <w:pPr>
              <w:jc w:val="both"/>
              <w:rPr>
                <w:rFonts w:cstheme="minorHAnsi"/>
                <w:color w:val="000000" w:themeColor="text1"/>
              </w:rPr>
            </w:pPr>
            <w:r w:rsidRPr="006A7501">
              <w:rPr>
                <w:rFonts w:cstheme="minorHAnsi"/>
                <w:color w:val="000000" w:themeColor="text1"/>
              </w:rPr>
              <w:t>h) la Commission de la protection de la vie privée;</w:t>
            </w:r>
          </w:p>
        </w:tc>
        <w:tc>
          <w:tcPr>
            <w:tcW w:w="2500" w:type="pct"/>
          </w:tcPr>
          <w:p w14:paraId="0AAA58B1" w14:textId="1689BAC2" w:rsidR="000E00D5" w:rsidRPr="006A7501" w:rsidRDefault="000E00D5" w:rsidP="009F36E5">
            <w:pPr>
              <w:jc w:val="both"/>
              <w:rPr>
                <w:rFonts w:cstheme="minorHAnsi"/>
                <w:color w:val="000000" w:themeColor="text1"/>
                <w:lang w:val="nl-BE"/>
              </w:rPr>
            </w:pPr>
            <w:r w:rsidRPr="00B42EB4">
              <w:rPr>
                <w:rFonts w:cstheme="minorHAnsi"/>
                <w:color w:val="000000" w:themeColor="text1"/>
                <w:lang w:val="nl-BE"/>
              </w:rPr>
              <w:t>h) de Commissie voor de bescherming van de persoonlijke levenssfeer;</w:t>
            </w:r>
          </w:p>
        </w:tc>
      </w:tr>
      <w:tr w:rsidR="000E00D5" w:rsidRPr="00065173" w14:paraId="081CB8B6" w14:textId="2438B5EB" w:rsidTr="000E00D5">
        <w:tc>
          <w:tcPr>
            <w:tcW w:w="2500" w:type="pct"/>
          </w:tcPr>
          <w:p w14:paraId="18ED2A8F" w14:textId="77777777" w:rsidR="000E00D5" w:rsidRPr="006A7501" w:rsidRDefault="000E00D5" w:rsidP="009F36E5">
            <w:pPr>
              <w:jc w:val="both"/>
              <w:rPr>
                <w:rFonts w:cstheme="minorHAnsi"/>
                <w:color w:val="000000" w:themeColor="text1"/>
                <w:lang w:val="nl-BE"/>
              </w:rPr>
            </w:pPr>
          </w:p>
        </w:tc>
        <w:tc>
          <w:tcPr>
            <w:tcW w:w="2500" w:type="pct"/>
          </w:tcPr>
          <w:p w14:paraId="5D8666A5" w14:textId="77777777" w:rsidR="000E00D5" w:rsidRPr="006A7501" w:rsidRDefault="000E00D5" w:rsidP="009F36E5">
            <w:pPr>
              <w:jc w:val="both"/>
              <w:rPr>
                <w:rFonts w:cstheme="minorHAnsi"/>
                <w:color w:val="000000" w:themeColor="text1"/>
                <w:lang w:val="nl-BE"/>
              </w:rPr>
            </w:pPr>
          </w:p>
        </w:tc>
      </w:tr>
      <w:tr w:rsidR="000E00D5" w:rsidRPr="00065173" w14:paraId="0630828F" w14:textId="76609CFC" w:rsidTr="000E00D5">
        <w:tc>
          <w:tcPr>
            <w:tcW w:w="2500" w:type="pct"/>
          </w:tcPr>
          <w:p w14:paraId="50E6DFC1" w14:textId="77777777"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t>i) le Service public fédéral chargé des statistiques et de l'information économique ;</w:t>
            </w:r>
          </w:p>
        </w:tc>
        <w:tc>
          <w:tcPr>
            <w:tcW w:w="2500" w:type="pct"/>
          </w:tcPr>
          <w:p w14:paraId="4422CD73" w14:textId="77777777"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i) de federale overheidsdienst die belast is met statistiek en economische informatie;</w:t>
            </w:r>
          </w:p>
        </w:tc>
      </w:tr>
      <w:tr w:rsidR="000E00D5" w:rsidRPr="00065173" w14:paraId="45C7040A" w14:textId="2ED50799" w:rsidTr="000E00D5">
        <w:tc>
          <w:tcPr>
            <w:tcW w:w="2500" w:type="pct"/>
          </w:tcPr>
          <w:p w14:paraId="0E0D49E5" w14:textId="77777777" w:rsidR="000E00D5" w:rsidRPr="00B42EB4" w:rsidRDefault="000E00D5" w:rsidP="009F36E5">
            <w:pPr>
              <w:rPr>
                <w:rFonts w:cstheme="minorHAnsi"/>
                <w:color w:val="000000" w:themeColor="text1"/>
                <w:lang w:val="nl-BE"/>
              </w:rPr>
            </w:pPr>
          </w:p>
        </w:tc>
        <w:tc>
          <w:tcPr>
            <w:tcW w:w="2500" w:type="pct"/>
          </w:tcPr>
          <w:p w14:paraId="2ED89488" w14:textId="77777777" w:rsidR="000E00D5" w:rsidRPr="00B42EB4" w:rsidRDefault="000E00D5" w:rsidP="009F36E5">
            <w:pPr>
              <w:rPr>
                <w:rFonts w:cstheme="minorHAnsi"/>
                <w:color w:val="000000" w:themeColor="text1"/>
                <w:lang w:val="nl-BE"/>
              </w:rPr>
            </w:pPr>
          </w:p>
        </w:tc>
      </w:tr>
      <w:tr w:rsidR="000E00D5" w:rsidRPr="00065173" w14:paraId="527A7CE2" w14:textId="0A6752AB" w:rsidTr="000E00D5">
        <w:tc>
          <w:tcPr>
            <w:tcW w:w="2500" w:type="pct"/>
          </w:tcPr>
          <w:p w14:paraId="7EF2DD47" w14:textId="77777777"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lastRenderedPageBreak/>
              <w:t>4° apporte sa collaboration aux activités de la Commission mixte des télécommunications, créée par l'arrêté royal du 10 décembre 1957, modifié par l'arrêté royal du 24 septembre 1993;</w:t>
            </w:r>
          </w:p>
        </w:tc>
        <w:tc>
          <w:tcPr>
            <w:tcW w:w="2500" w:type="pct"/>
          </w:tcPr>
          <w:p w14:paraId="461FF157" w14:textId="77777777"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4° verleent het Instituut zijn medewerking aan de gemengde Commissie voor telecommunicatie, opgericht bij het koninklijk besluit van 10 december 1957 en gewijzigd bij het koninklijk besluit van 24 september 1993;</w:t>
            </w:r>
          </w:p>
        </w:tc>
      </w:tr>
      <w:tr w:rsidR="000E00D5" w:rsidRPr="00065173" w14:paraId="43DC7F7C" w14:textId="4B896B8B" w:rsidTr="000E00D5">
        <w:tc>
          <w:tcPr>
            <w:tcW w:w="2500" w:type="pct"/>
          </w:tcPr>
          <w:p w14:paraId="4015C19E" w14:textId="77777777" w:rsidR="000E00D5" w:rsidRPr="00B42EB4" w:rsidRDefault="000E00D5" w:rsidP="009F36E5">
            <w:pPr>
              <w:rPr>
                <w:rFonts w:cstheme="minorHAnsi"/>
                <w:color w:val="000000" w:themeColor="text1"/>
                <w:lang w:val="nl-BE"/>
              </w:rPr>
            </w:pPr>
          </w:p>
        </w:tc>
        <w:tc>
          <w:tcPr>
            <w:tcW w:w="2500" w:type="pct"/>
          </w:tcPr>
          <w:p w14:paraId="1DB1AA3C" w14:textId="77777777" w:rsidR="000E00D5" w:rsidRPr="00B42EB4" w:rsidRDefault="000E00D5" w:rsidP="009F36E5">
            <w:pPr>
              <w:rPr>
                <w:rFonts w:cstheme="minorHAnsi"/>
                <w:color w:val="000000" w:themeColor="text1"/>
                <w:lang w:val="nl-BE"/>
              </w:rPr>
            </w:pPr>
          </w:p>
        </w:tc>
      </w:tr>
      <w:tr w:rsidR="000E00D5" w:rsidRPr="00065173" w14:paraId="47D33D05" w14:textId="0EDCE49B" w:rsidTr="000E00D5">
        <w:tc>
          <w:tcPr>
            <w:tcW w:w="2500" w:type="pct"/>
          </w:tcPr>
          <w:p w14:paraId="7D13A105" w14:textId="77777777"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t>5° l'Institut peut uniquement prendre des décisions relatives aux réseaux de communications électroniques pour lesquels les Communautés sont également compétentes, après l'entrée en vigueur d'un accord de coopération avec les Communautés portant sur l'exercice des compétences en matière de réseaux de communications électroniques.</w:t>
            </w:r>
          </w:p>
        </w:tc>
        <w:tc>
          <w:tcPr>
            <w:tcW w:w="2500" w:type="pct"/>
          </w:tcPr>
          <w:p w14:paraId="75152903" w14:textId="77777777"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5° kan het Instituut enkel besluiten nemen met betrekking tot die elektronische communicatienetwerken waarvoor de gemeenschappen eveneens bevoegd zijn nadat er omtrent de uitoefening van bevoegdheden met betrekking tot deze elektronische communicatienetwerken een samenwerkingsakkoord met de Gemeenschappen in werking is getreden.</w:t>
            </w:r>
          </w:p>
        </w:tc>
      </w:tr>
      <w:tr w:rsidR="000E00D5" w:rsidRPr="00065173" w14:paraId="61DDED26" w14:textId="29A47C9F" w:rsidTr="000E00D5">
        <w:tc>
          <w:tcPr>
            <w:tcW w:w="2500" w:type="pct"/>
          </w:tcPr>
          <w:p w14:paraId="0DD8B612" w14:textId="77777777" w:rsidR="000E00D5" w:rsidRPr="00B42EB4" w:rsidRDefault="000E00D5" w:rsidP="009F36E5">
            <w:pPr>
              <w:rPr>
                <w:rFonts w:cstheme="minorHAnsi"/>
                <w:color w:val="000000" w:themeColor="text1"/>
                <w:lang w:val="nl-BE"/>
              </w:rPr>
            </w:pPr>
          </w:p>
        </w:tc>
        <w:tc>
          <w:tcPr>
            <w:tcW w:w="2500" w:type="pct"/>
          </w:tcPr>
          <w:p w14:paraId="4DCD8E6E" w14:textId="77777777" w:rsidR="000E00D5" w:rsidRPr="00B42EB4" w:rsidRDefault="000E00D5" w:rsidP="009F36E5">
            <w:pPr>
              <w:rPr>
                <w:rFonts w:cstheme="minorHAnsi"/>
                <w:color w:val="000000" w:themeColor="text1"/>
                <w:lang w:val="nl-BE"/>
              </w:rPr>
            </w:pPr>
          </w:p>
        </w:tc>
      </w:tr>
      <w:tr w:rsidR="000E00D5" w:rsidRPr="00065173" w14:paraId="510FA241" w14:textId="0DBC674B" w:rsidTr="000E00D5">
        <w:tc>
          <w:tcPr>
            <w:tcW w:w="2500" w:type="pct"/>
            <w:shd w:val="clear" w:color="auto" w:fill="auto"/>
          </w:tcPr>
          <w:p w14:paraId="19DFA6D2" w14:textId="26D45F2F"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t xml:space="preserve">6° peut procéder, en respectant les motifs de l'annulation et sans modifier l'étendue de son champ d'application, à la réfection d'une décision annulée par une autorité juridictionnelle lorsque, du fait de cette annulation, un ou plusieurs des objectifs visés aux articles 6 à 8 de la loi du 13 juin 2005 relative aux communications électroniques </w:t>
            </w:r>
            <w:r w:rsidRPr="003E3522">
              <w:rPr>
                <w:rFonts w:cstheme="minorHAnsi"/>
                <w:color w:val="000000" w:themeColor="text1"/>
              </w:rPr>
              <w:t xml:space="preserve"> </w:t>
            </w:r>
            <w:r w:rsidRPr="003E3522">
              <w:rPr>
                <w:rFonts w:cstheme="minorHAnsi"/>
                <w:color w:val="000000" w:themeColor="text1"/>
                <w:lang w:val="fr-FR"/>
              </w:rPr>
              <w:t>ne sont plus réalisés. L'Institut peut procéder à une même réfection lorsque la décision annulée concerne le secteur postal et qu'un ou plusieurs des objectifs suivants ne sont plus réalisés :</w:t>
            </w:r>
          </w:p>
        </w:tc>
        <w:tc>
          <w:tcPr>
            <w:tcW w:w="2500" w:type="pct"/>
            <w:shd w:val="clear" w:color="auto" w:fill="auto"/>
          </w:tcPr>
          <w:p w14:paraId="340F7BDD" w14:textId="1AF5BBAB"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6° mag het Instituut, mits de redenen voor de nietigverklaring worden geëerbiedigd en de omvang van het toepassingsgebied niet wordt gewijzigd, overgaan tot de vervanging van een door een rechterlijke autoriteit vernietigd besluit wanneer, wegens die nietigverklaring, één of meer doelstellingen beoogd in de artikelen 6 tot 8 van de wet van 13 juni 2005 betreffende de elektronische communicatie niet langer worden gehaald. Het Instituut kan in een dergelijke vervanging tevens voorzien wanneer het vernietigde besluit betrekking heeft op de postsector en één of meer van de volgende doelstellingen niet langer worden gehaald:</w:t>
            </w:r>
          </w:p>
        </w:tc>
      </w:tr>
      <w:tr w:rsidR="000E00D5" w:rsidRPr="00065173" w14:paraId="0F0C220C" w14:textId="3D6977BD" w:rsidTr="000E00D5">
        <w:tc>
          <w:tcPr>
            <w:tcW w:w="2500" w:type="pct"/>
          </w:tcPr>
          <w:p w14:paraId="5FD070B4" w14:textId="77777777" w:rsidR="000E00D5" w:rsidRPr="006A7501" w:rsidRDefault="000E00D5" w:rsidP="009F36E5">
            <w:pPr>
              <w:jc w:val="both"/>
              <w:rPr>
                <w:rFonts w:cstheme="minorHAnsi"/>
                <w:color w:val="000000" w:themeColor="text1"/>
                <w:lang w:val="nl-BE"/>
              </w:rPr>
            </w:pPr>
          </w:p>
        </w:tc>
        <w:tc>
          <w:tcPr>
            <w:tcW w:w="2500" w:type="pct"/>
          </w:tcPr>
          <w:p w14:paraId="5A80821B" w14:textId="77777777" w:rsidR="000E00D5" w:rsidRPr="006A7501" w:rsidRDefault="000E00D5" w:rsidP="009F36E5">
            <w:pPr>
              <w:jc w:val="both"/>
              <w:rPr>
                <w:rFonts w:cstheme="minorHAnsi"/>
                <w:color w:val="000000" w:themeColor="text1"/>
                <w:lang w:val="nl-BE"/>
              </w:rPr>
            </w:pPr>
          </w:p>
        </w:tc>
      </w:tr>
      <w:tr w:rsidR="000E00D5" w:rsidRPr="00065173" w14:paraId="617F9054" w14:textId="712443BE" w:rsidTr="000E00D5">
        <w:tc>
          <w:tcPr>
            <w:tcW w:w="2500" w:type="pct"/>
          </w:tcPr>
          <w:p w14:paraId="5F82F0D6" w14:textId="77777777"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t>- veiller à la qualité et à la pérennité du service universel;</w:t>
            </w:r>
          </w:p>
        </w:tc>
        <w:tc>
          <w:tcPr>
            <w:tcW w:w="2500" w:type="pct"/>
          </w:tcPr>
          <w:p w14:paraId="3D5E30B6" w14:textId="77777777"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 waken over de kwaliteit en het voortbestaan van de universele dienst;</w:t>
            </w:r>
          </w:p>
        </w:tc>
      </w:tr>
      <w:tr w:rsidR="000E00D5" w:rsidRPr="00065173" w14:paraId="198F048D" w14:textId="3596BAA7" w:rsidTr="000E00D5">
        <w:tc>
          <w:tcPr>
            <w:tcW w:w="2500" w:type="pct"/>
          </w:tcPr>
          <w:p w14:paraId="75D0DB07" w14:textId="77777777" w:rsidR="000E00D5" w:rsidRPr="00B42EB4" w:rsidRDefault="000E00D5" w:rsidP="009F36E5">
            <w:pPr>
              <w:rPr>
                <w:rFonts w:cstheme="minorHAnsi"/>
                <w:color w:val="000000" w:themeColor="text1"/>
                <w:lang w:val="nl-BE"/>
              </w:rPr>
            </w:pPr>
          </w:p>
        </w:tc>
        <w:tc>
          <w:tcPr>
            <w:tcW w:w="2500" w:type="pct"/>
          </w:tcPr>
          <w:p w14:paraId="686F86B0" w14:textId="77777777" w:rsidR="000E00D5" w:rsidRPr="00B42EB4" w:rsidRDefault="000E00D5" w:rsidP="009F36E5">
            <w:pPr>
              <w:rPr>
                <w:rFonts w:cstheme="minorHAnsi"/>
                <w:color w:val="000000" w:themeColor="text1"/>
                <w:lang w:val="nl-BE"/>
              </w:rPr>
            </w:pPr>
          </w:p>
        </w:tc>
      </w:tr>
      <w:tr w:rsidR="000E00D5" w:rsidRPr="00065173" w14:paraId="4A888859" w14:textId="3385882C" w:rsidTr="000E00D5">
        <w:tc>
          <w:tcPr>
            <w:tcW w:w="2500" w:type="pct"/>
          </w:tcPr>
          <w:p w14:paraId="1EAE5D4E" w14:textId="77777777"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t>- veiller aux intérêts des utilisateurs des services postaux;</w:t>
            </w:r>
          </w:p>
        </w:tc>
        <w:tc>
          <w:tcPr>
            <w:tcW w:w="2500" w:type="pct"/>
          </w:tcPr>
          <w:p w14:paraId="223E4923" w14:textId="77777777"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 waken over de belangen van de gebruikers van postdiensten;</w:t>
            </w:r>
          </w:p>
        </w:tc>
      </w:tr>
      <w:tr w:rsidR="000E00D5" w:rsidRPr="00065173" w14:paraId="649C9623" w14:textId="54C98AC1" w:rsidTr="000E00D5">
        <w:tc>
          <w:tcPr>
            <w:tcW w:w="2500" w:type="pct"/>
          </w:tcPr>
          <w:p w14:paraId="72E3A6DB" w14:textId="77777777" w:rsidR="000E00D5" w:rsidRPr="00B42EB4" w:rsidRDefault="000E00D5" w:rsidP="009F36E5">
            <w:pPr>
              <w:jc w:val="both"/>
              <w:rPr>
                <w:rFonts w:cstheme="minorHAnsi"/>
                <w:color w:val="000000" w:themeColor="text1"/>
                <w:lang w:val="nl-BE"/>
              </w:rPr>
            </w:pPr>
          </w:p>
        </w:tc>
        <w:tc>
          <w:tcPr>
            <w:tcW w:w="2500" w:type="pct"/>
          </w:tcPr>
          <w:p w14:paraId="2285084F" w14:textId="77777777" w:rsidR="000E00D5" w:rsidRPr="00B42EB4" w:rsidRDefault="000E00D5" w:rsidP="009F36E5">
            <w:pPr>
              <w:jc w:val="both"/>
              <w:rPr>
                <w:rFonts w:cstheme="minorHAnsi"/>
                <w:color w:val="000000" w:themeColor="text1"/>
                <w:lang w:val="nl-BE"/>
              </w:rPr>
            </w:pPr>
          </w:p>
        </w:tc>
      </w:tr>
      <w:tr w:rsidR="000E00D5" w:rsidRPr="00065173" w14:paraId="6C9BFFCE" w14:textId="029B2C36" w:rsidTr="000E00D5">
        <w:tc>
          <w:tcPr>
            <w:tcW w:w="2500" w:type="pct"/>
          </w:tcPr>
          <w:p w14:paraId="6638BBF1" w14:textId="77777777"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t>- contribuer au développement d'un marché intérieur des services postaux;</w:t>
            </w:r>
          </w:p>
        </w:tc>
        <w:tc>
          <w:tcPr>
            <w:tcW w:w="2500" w:type="pct"/>
          </w:tcPr>
          <w:p w14:paraId="298EF6BA" w14:textId="77777777"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 bijdragen tot de ontwikkeling van een interne markt voor postdiensten;</w:t>
            </w:r>
          </w:p>
        </w:tc>
      </w:tr>
      <w:tr w:rsidR="000E00D5" w:rsidRPr="00065173" w14:paraId="102AE8A7" w14:textId="74209746" w:rsidTr="000E00D5">
        <w:tc>
          <w:tcPr>
            <w:tcW w:w="2500" w:type="pct"/>
          </w:tcPr>
          <w:p w14:paraId="37B1718E" w14:textId="77777777" w:rsidR="000E00D5" w:rsidRPr="00B42EB4" w:rsidRDefault="000E00D5" w:rsidP="009F36E5">
            <w:pPr>
              <w:jc w:val="both"/>
              <w:rPr>
                <w:rFonts w:cstheme="minorHAnsi"/>
                <w:color w:val="000000" w:themeColor="text1"/>
                <w:lang w:val="nl-BE"/>
              </w:rPr>
            </w:pPr>
          </w:p>
        </w:tc>
        <w:tc>
          <w:tcPr>
            <w:tcW w:w="2500" w:type="pct"/>
          </w:tcPr>
          <w:p w14:paraId="2D5E27D5" w14:textId="77777777" w:rsidR="000E00D5" w:rsidRPr="00B42EB4" w:rsidRDefault="000E00D5" w:rsidP="009F36E5">
            <w:pPr>
              <w:jc w:val="both"/>
              <w:rPr>
                <w:rFonts w:cstheme="minorHAnsi"/>
                <w:color w:val="000000" w:themeColor="text1"/>
                <w:lang w:val="nl-BE"/>
              </w:rPr>
            </w:pPr>
          </w:p>
        </w:tc>
      </w:tr>
      <w:tr w:rsidR="000E00D5" w:rsidRPr="00065173" w14:paraId="03BC0838" w14:textId="53C34264" w:rsidTr="000E00D5">
        <w:tc>
          <w:tcPr>
            <w:tcW w:w="2500" w:type="pct"/>
          </w:tcPr>
          <w:p w14:paraId="592C1314" w14:textId="77777777" w:rsidR="000E00D5" w:rsidRPr="003E3522" w:rsidRDefault="000E00D5" w:rsidP="009F36E5">
            <w:pPr>
              <w:jc w:val="both"/>
              <w:rPr>
                <w:rFonts w:cstheme="minorHAnsi"/>
                <w:color w:val="000000" w:themeColor="text1"/>
                <w:lang w:val="fr-FR"/>
              </w:rPr>
            </w:pPr>
            <w:r w:rsidRPr="003E3522">
              <w:rPr>
                <w:rFonts w:cstheme="minorHAnsi"/>
                <w:color w:val="000000" w:themeColor="text1"/>
                <w:lang w:val="fr-FR"/>
              </w:rPr>
              <w:t>- promouvoir la concurrence dans le secteur postal.</w:t>
            </w:r>
          </w:p>
        </w:tc>
        <w:tc>
          <w:tcPr>
            <w:tcW w:w="2500" w:type="pct"/>
          </w:tcPr>
          <w:p w14:paraId="0AE4B9E4" w14:textId="77777777" w:rsidR="000E00D5" w:rsidRPr="00B42EB4" w:rsidRDefault="000E00D5" w:rsidP="009F36E5">
            <w:pPr>
              <w:jc w:val="both"/>
              <w:rPr>
                <w:rFonts w:cstheme="minorHAnsi"/>
                <w:color w:val="000000" w:themeColor="text1"/>
                <w:lang w:val="nl-BE"/>
              </w:rPr>
            </w:pPr>
            <w:r w:rsidRPr="00B42EB4">
              <w:rPr>
                <w:rFonts w:cstheme="minorHAnsi"/>
                <w:color w:val="000000" w:themeColor="text1"/>
                <w:lang w:val="nl-BE"/>
              </w:rPr>
              <w:t>- het bevorderen van de concurrentie in de postsector.</w:t>
            </w:r>
          </w:p>
        </w:tc>
      </w:tr>
    </w:tbl>
    <w:p w14:paraId="2330627A" w14:textId="77777777" w:rsidR="00B42EB4" w:rsidRPr="00B42EB4" w:rsidRDefault="00B42EB4" w:rsidP="00B42EB4">
      <w:pPr>
        <w:rPr>
          <w:lang w:val="nl-BE"/>
        </w:rPr>
      </w:pPr>
    </w:p>
    <w:sectPr w:rsidR="00B42EB4" w:rsidRPr="00B42EB4" w:rsidSect="000E00D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55E1" w14:textId="77777777" w:rsidR="00DE6BC3" w:rsidRDefault="00DE6BC3" w:rsidP="00DE6BC3">
      <w:pPr>
        <w:spacing w:after="0" w:line="240" w:lineRule="auto"/>
      </w:pPr>
      <w:r>
        <w:separator/>
      </w:r>
    </w:p>
  </w:endnote>
  <w:endnote w:type="continuationSeparator" w:id="0">
    <w:p w14:paraId="3692487E" w14:textId="77777777" w:rsidR="00DE6BC3" w:rsidRDefault="00DE6BC3" w:rsidP="00DE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911700"/>
      <w:docPartObj>
        <w:docPartGallery w:val="Page Numbers (Bottom of Page)"/>
        <w:docPartUnique/>
      </w:docPartObj>
    </w:sdtPr>
    <w:sdtEndPr>
      <w:rPr>
        <w:noProof/>
      </w:rPr>
    </w:sdtEndPr>
    <w:sdtContent>
      <w:p w14:paraId="63E457B5" w14:textId="552205DF" w:rsidR="00DE6BC3" w:rsidRDefault="00DE6B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C1C47" w14:textId="77777777" w:rsidR="00DE6BC3" w:rsidRDefault="00DE6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BC362" w14:textId="77777777" w:rsidR="00DE6BC3" w:rsidRDefault="00DE6BC3" w:rsidP="00DE6BC3">
      <w:pPr>
        <w:spacing w:after="0" w:line="240" w:lineRule="auto"/>
      </w:pPr>
      <w:r>
        <w:separator/>
      </w:r>
    </w:p>
  </w:footnote>
  <w:footnote w:type="continuationSeparator" w:id="0">
    <w:p w14:paraId="7D812540" w14:textId="77777777" w:rsidR="00DE6BC3" w:rsidRDefault="00DE6BC3" w:rsidP="00DE6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0E5B" w14:textId="0603AD65" w:rsidR="002E47D1" w:rsidRPr="002E47D1" w:rsidRDefault="0082314F" w:rsidP="002E47D1">
    <w:pPr>
      <w:pStyle w:val="Header"/>
      <w:jc w:val="right"/>
      <w:rPr>
        <w:lang w:val="fr-BE"/>
      </w:rPr>
    </w:pPr>
    <w:r>
      <w:rPr>
        <w:lang w:val="fr-BE"/>
      </w:rPr>
      <w:t>07</w:t>
    </w:r>
    <w:r w:rsidR="000E00D5">
      <w:rPr>
        <w:lang w:val="fr-BE"/>
      </w:rPr>
      <w:t>/0</w:t>
    </w:r>
    <w:r>
      <w:rPr>
        <w:lang w:val="fr-BE"/>
      </w:rPr>
      <w:t>5</w:t>
    </w:r>
    <w:r w:rsidR="000E00D5">
      <w:rPr>
        <w:lang w:val="fr-BE"/>
      </w:rPr>
      <w:t>/2021</w:t>
    </w:r>
    <w:r w:rsidR="009F36E5">
      <w:rPr>
        <w:lang w:val="fr-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1499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3DC64E6"/>
    <w:multiLevelType w:val="multilevel"/>
    <w:tmpl w:val="8FFC54D2"/>
    <w:lvl w:ilvl="0">
      <w:start w:val="1"/>
      <w:numFmt w:val="upperRoman"/>
      <w:lvlText w:val="Partie %1."/>
      <w:lvlJc w:val="left"/>
      <w:pPr>
        <w:ind w:left="360" w:hanging="360"/>
      </w:pPr>
      <w:rPr>
        <w:rFonts w:hint="default"/>
      </w:rPr>
    </w:lvl>
    <w:lvl w:ilvl="1">
      <w:start w:val="1"/>
      <w:numFmt w:val="decimal"/>
      <w:lvlRestart w:val="0"/>
      <w:pStyle w:val="BIPTHeading1"/>
      <w:lvlText w:val="%2."/>
      <w:lvlJc w:val="left"/>
      <w:pPr>
        <w:ind w:left="851" w:hanging="851"/>
      </w:pPr>
      <w:rPr>
        <w:rFonts w:hint="default"/>
      </w:rPr>
    </w:lvl>
    <w:lvl w:ilvl="2">
      <w:start w:val="1"/>
      <w:numFmt w:val="decimal"/>
      <w:pStyle w:val="BIPTHeading2"/>
      <w:lvlText w:val="%2.%3."/>
      <w:lvlJc w:val="left"/>
      <w:pPr>
        <w:ind w:left="851" w:hanging="851"/>
      </w:pPr>
      <w:rPr>
        <w:rFonts w:hint="default"/>
      </w:rPr>
    </w:lvl>
    <w:lvl w:ilvl="3">
      <w:start w:val="1"/>
      <w:numFmt w:val="decimal"/>
      <w:pStyle w:val="BIPTHeading3"/>
      <w:lvlText w:val="%2.%3.%4."/>
      <w:lvlJc w:val="left"/>
      <w:pPr>
        <w:ind w:left="851" w:hanging="851"/>
      </w:pPr>
      <w:rPr>
        <w:rFonts w:hint="default"/>
      </w:rPr>
    </w:lvl>
    <w:lvl w:ilvl="4">
      <w:start w:val="1"/>
      <w:numFmt w:val="decimal"/>
      <w:pStyle w:val="BIPTHeading4"/>
      <w:lvlText w:val="%2.%3.%4.%5."/>
      <w:lvlJc w:val="left"/>
      <w:pPr>
        <w:ind w:left="851" w:hanging="851"/>
      </w:pPr>
      <w:rPr>
        <w:rFonts w:hint="default"/>
      </w:rPr>
    </w:lvl>
    <w:lvl w:ilvl="5">
      <w:start w:val="1"/>
      <w:numFmt w:val="lowerLetter"/>
      <w:pStyle w:val="BIPTHeading5"/>
      <w:suff w:val="space"/>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C8D59AD"/>
    <w:multiLevelType w:val="multilevel"/>
    <w:tmpl w:val="B6B6DFCE"/>
    <w:lvl w:ilvl="0">
      <w:start w:val="1"/>
      <w:numFmt w:val="decimal"/>
      <w:lvlText w:val="%1."/>
      <w:lvlJc w:val="left"/>
      <w:pPr>
        <w:ind w:left="720" w:hanging="360"/>
      </w:pPr>
      <w:rPr>
        <w:rFonts w:hint="default"/>
      </w:rPr>
    </w:lvl>
    <w:lvl w:ilvl="1">
      <w:start w:val="1"/>
      <w:numFmt w:val="decimal"/>
      <w:lvlText w:val="%1.%2."/>
      <w:lvlJc w:val="left"/>
      <w:pPr>
        <w:ind w:left="1440" w:hanging="1083"/>
      </w:pPr>
      <w:rPr>
        <w:rFonts w:hint="default"/>
      </w:rPr>
    </w:lvl>
    <w:lvl w:ilvl="2">
      <w:start w:val="1"/>
      <w:numFmt w:val="decimal"/>
      <w:lvlText w:val="%1.%2.%3."/>
      <w:lvlJc w:val="left"/>
      <w:pPr>
        <w:ind w:left="1418" w:hanging="1061"/>
      </w:pPr>
      <w:rPr>
        <w:rFonts w:hint="default"/>
      </w:rPr>
    </w:lvl>
    <w:lvl w:ilvl="3">
      <w:start w:val="1"/>
      <w:numFmt w:val="decimal"/>
      <w:lvlText w:val="%1.%2.%3.%4."/>
      <w:lvlJc w:val="left"/>
      <w:pPr>
        <w:ind w:left="1418" w:hanging="106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F28053B"/>
    <w:multiLevelType w:val="hybridMultilevel"/>
    <w:tmpl w:val="8C90ED7A"/>
    <w:lvl w:ilvl="0" w:tplc="F80205D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B9"/>
    <w:rsid w:val="00005002"/>
    <w:rsid w:val="00032690"/>
    <w:rsid w:val="000418D3"/>
    <w:rsid w:val="00065173"/>
    <w:rsid w:val="000770F0"/>
    <w:rsid w:val="00085473"/>
    <w:rsid w:val="000C1983"/>
    <w:rsid w:val="000E00D5"/>
    <w:rsid w:val="000E5C02"/>
    <w:rsid w:val="001363FC"/>
    <w:rsid w:val="0014651E"/>
    <w:rsid w:val="00164536"/>
    <w:rsid w:val="00172B44"/>
    <w:rsid w:val="00193B32"/>
    <w:rsid w:val="001A252C"/>
    <w:rsid w:val="001B4921"/>
    <w:rsid w:val="0020054B"/>
    <w:rsid w:val="00202A2C"/>
    <w:rsid w:val="0021288B"/>
    <w:rsid w:val="00232F2E"/>
    <w:rsid w:val="002519E2"/>
    <w:rsid w:val="00270C6B"/>
    <w:rsid w:val="002A2CC5"/>
    <w:rsid w:val="002C4C4B"/>
    <w:rsid w:val="002E47D1"/>
    <w:rsid w:val="002F00EC"/>
    <w:rsid w:val="002F457B"/>
    <w:rsid w:val="00313FD4"/>
    <w:rsid w:val="003354AB"/>
    <w:rsid w:val="00381A78"/>
    <w:rsid w:val="00384409"/>
    <w:rsid w:val="0039499B"/>
    <w:rsid w:val="003D6274"/>
    <w:rsid w:val="003E12B2"/>
    <w:rsid w:val="003E3DFC"/>
    <w:rsid w:val="003F7BDB"/>
    <w:rsid w:val="004354A3"/>
    <w:rsid w:val="0043684F"/>
    <w:rsid w:val="004468E4"/>
    <w:rsid w:val="00451B6E"/>
    <w:rsid w:val="00471407"/>
    <w:rsid w:val="004771B8"/>
    <w:rsid w:val="004844D8"/>
    <w:rsid w:val="004A40FC"/>
    <w:rsid w:val="004B1F33"/>
    <w:rsid w:val="004F138E"/>
    <w:rsid w:val="004F172D"/>
    <w:rsid w:val="004F330F"/>
    <w:rsid w:val="00515F49"/>
    <w:rsid w:val="005247A7"/>
    <w:rsid w:val="00553396"/>
    <w:rsid w:val="00564D7F"/>
    <w:rsid w:val="005727E1"/>
    <w:rsid w:val="00576A37"/>
    <w:rsid w:val="00585398"/>
    <w:rsid w:val="005A318C"/>
    <w:rsid w:val="005E6AF9"/>
    <w:rsid w:val="006031B0"/>
    <w:rsid w:val="00650C69"/>
    <w:rsid w:val="00653D61"/>
    <w:rsid w:val="006A7501"/>
    <w:rsid w:val="006C0E2E"/>
    <w:rsid w:val="006C344A"/>
    <w:rsid w:val="006C3C8E"/>
    <w:rsid w:val="006D2974"/>
    <w:rsid w:val="006E7CDA"/>
    <w:rsid w:val="006F13E1"/>
    <w:rsid w:val="00704DB9"/>
    <w:rsid w:val="00710134"/>
    <w:rsid w:val="00791FB7"/>
    <w:rsid w:val="007C7468"/>
    <w:rsid w:val="007D4017"/>
    <w:rsid w:val="00800CAC"/>
    <w:rsid w:val="0082314F"/>
    <w:rsid w:val="00830EE1"/>
    <w:rsid w:val="00841AB4"/>
    <w:rsid w:val="008A0A78"/>
    <w:rsid w:val="008B1926"/>
    <w:rsid w:val="008C013A"/>
    <w:rsid w:val="008C45D7"/>
    <w:rsid w:val="008D5E0B"/>
    <w:rsid w:val="008E0AA1"/>
    <w:rsid w:val="009048BC"/>
    <w:rsid w:val="00913CCE"/>
    <w:rsid w:val="00913DFF"/>
    <w:rsid w:val="00923798"/>
    <w:rsid w:val="00931B1D"/>
    <w:rsid w:val="00942A9F"/>
    <w:rsid w:val="00954622"/>
    <w:rsid w:val="009C06BC"/>
    <w:rsid w:val="009F02E9"/>
    <w:rsid w:val="009F36E5"/>
    <w:rsid w:val="00A121BC"/>
    <w:rsid w:val="00A622F1"/>
    <w:rsid w:val="00A82B5C"/>
    <w:rsid w:val="00A907E6"/>
    <w:rsid w:val="00A95131"/>
    <w:rsid w:val="00AA2824"/>
    <w:rsid w:val="00AB07F4"/>
    <w:rsid w:val="00AC1CCF"/>
    <w:rsid w:val="00AD73ED"/>
    <w:rsid w:val="00B005CC"/>
    <w:rsid w:val="00B06473"/>
    <w:rsid w:val="00B07FA1"/>
    <w:rsid w:val="00B125AB"/>
    <w:rsid w:val="00B20C1B"/>
    <w:rsid w:val="00B4158E"/>
    <w:rsid w:val="00B42EB4"/>
    <w:rsid w:val="00B7090F"/>
    <w:rsid w:val="00B92501"/>
    <w:rsid w:val="00BB67F4"/>
    <w:rsid w:val="00BC03AD"/>
    <w:rsid w:val="00BD2929"/>
    <w:rsid w:val="00BE3304"/>
    <w:rsid w:val="00C4416D"/>
    <w:rsid w:val="00C45B34"/>
    <w:rsid w:val="00C510BC"/>
    <w:rsid w:val="00C76DC2"/>
    <w:rsid w:val="00CD58B1"/>
    <w:rsid w:val="00CE0AF4"/>
    <w:rsid w:val="00CF4615"/>
    <w:rsid w:val="00D034C6"/>
    <w:rsid w:val="00D04B06"/>
    <w:rsid w:val="00D42332"/>
    <w:rsid w:val="00D43174"/>
    <w:rsid w:val="00D6245E"/>
    <w:rsid w:val="00D85781"/>
    <w:rsid w:val="00D86840"/>
    <w:rsid w:val="00DB6D74"/>
    <w:rsid w:val="00DC438B"/>
    <w:rsid w:val="00DE6BC3"/>
    <w:rsid w:val="00E10EF9"/>
    <w:rsid w:val="00E22337"/>
    <w:rsid w:val="00E82C30"/>
    <w:rsid w:val="00EA13FE"/>
    <w:rsid w:val="00EC5BF7"/>
    <w:rsid w:val="00EE1916"/>
    <w:rsid w:val="00EF02D7"/>
    <w:rsid w:val="00EF555F"/>
    <w:rsid w:val="00F1172C"/>
    <w:rsid w:val="00F212F0"/>
    <w:rsid w:val="00F31D9D"/>
    <w:rsid w:val="00F4417F"/>
    <w:rsid w:val="00F51375"/>
    <w:rsid w:val="00F6765B"/>
    <w:rsid w:val="00FA4321"/>
    <w:rsid w:val="00FA5651"/>
    <w:rsid w:val="00FE1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8881"/>
  <w15:chartTrackingRefBased/>
  <w15:docId w15:val="{F270D625-99C9-4827-B0D5-171FBD44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61"/>
    <w:rPr>
      <w:rFonts w:ascii="Tahoma" w:hAnsi="Tahoma"/>
      <w:sz w:val="20"/>
    </w:rPr>
  </w:style>
  <w:style w:type="paragraph" w:styleId="Heading1">
    <w:name w:val="heading 1"/>
    <w:basedOn w:val="Normal"/>
    <w:next w:val="Normal"/>
    <w:link w:val="Heading1Char"/>
    <w:uiPriority w:val="9"/>
    <w:qFormat/>
    <w:rsid w:val="009C06BC"/>
    <w:pPr>
      <w:keepNext/>
      <w:keepLines/>
      <w:spacing w:before="240" w:after="0"/>
      <w:outlineLvl w:val="0"/>
    </w:pPr>
    <w:rPr>
      <w:rFonts w:eastAsiaTheme="majorEastAsia" w:cstheme="majorBidi"/>
      <w:color w:val="1B80B2" w:themeColor="accent1" w:themeShade="BF"/>
      <w:sz w:val="24"/>
      <w:szCs w:val="32"/>
    </w:rPr>
  </w:style>
  <w:style w:type="paragraph" w:styleId="Heading2">
    <w:name w:val="heading 2"/>
    <w:basedOn w:val="Normal"/>
    <w:next w:val="Normal"/>
    <w:link w:val="Heading2Char"/>
    <w:uiPriority w:val="9"/>
    <w:unhideWhenUsed/>
    <w:qFormat/>
    <w:rsid w:val="00A907E6"/>
    <w:pPr>
      <w:keepNext/>
      <w:keepLines/>
      <w:spacing w:before="40" w:after="0"/>
      <w:outlineLvl w:val="1"/>
    </w:pPr>
    <w:rPr>
      <w:rFonts w:eastAsiaTheme="majorEastAsia" w:cstheme="majorBidi"/>
      <w:color w:val="1B80B2" w:themeColor="accent1" w:themeShade="BF"/>
      <w:sz w:val="36"/>
      <w:szCs w:val="26"/>
    </w:rPr>
  </w:style>
  <w:style w:type="paragraph" w:styleId="Heading3">
    <w:name w:val="heading 3"/>
    <w:basedOn w:val="Normal"/>
    <w:next w:val="Normal"/>
    <w:link w:val="Heading3Char"/>
    <w:uiPriority w:val="9"/>
    <w:semiHidden/>
    <w:unhideWhenUsed/>
    <w:qFormat/>
    <w:rsid w:val="00CF4615"/>
    <w:pPr>
      <w:keepNext/>
      <w:keepLines/>
      <w:spacing w:before="40" w:after="0"/>
      <w:outlineLvl w:val="2"/>
    </w:pPr>
    <w:rPr>
      <w:rFonts w:asciiTheme="majorHAnsi" w:eastAsiaTheme="majorEastAsia" w:hAnsiTheme="majorHAnsi" w:cstheme="majorBidi"/>
      <w:color w:val="125576" w:themeColor="accent1" w:themeShade="7F"/>
      <w:sz w:val="24"/>
      <w:szCs w:val="24"/>
    </w:rPr>
  </w:style>
  <w:style w:type="paragraph" w:styleId="Heading4">
    <w:name w:val="heading 4"/>
    <w:basedOn w:val="Normal"/>
    <w:next w:val="Normal"/>
    <w:link w:val="Heading4Char"/>
    <w:uiPriority w:val="9"/>
    <w:semiHidden/>
    <w:unhideWhenUsed/>
    <w:qFormat/>
    <w:rsid w:val="00CF4615"/>
    <w:pPr>
      <w:keepNext/>
      <w:keepLines/>
      <w:spacing w:before="40" w:after="0"/>
      <w:outlineLvl w:val="3"/>
    </w:pPr>
    <w:rPr>
      <w:rFonts w:asciiTheme="majorHAnsi" w:eastAsiaTheme="majorEastAsia" w:hAnsiTheme="majorHAnsi" w:cstheme="majorBidi"/>
      <w:i/>
      <w:iCs/>
      <w:color w:val="1B80B2" w:themeColor="accent1" w:themeShade="BF"/>
    </w:rPr>
  </w:style>
  <w:style w:type="paragraph" w:styleId="Heading5">
    <w:name w:val="heading 5"/>
    <w:basedOn w:val="Normal"/>
    <w:next w:val="Normal"/>
    <w:link w:val="Heading5Char"/>
    <w:uiPriority w:val="9"/>
    <w:semiHidden/>
    <w:unhideWhenUsed/>
    <w:qFormat/>
    <w:rsid w:val="00CF4615"/>
    <w:pPr>
      <w:keepNext/>
      <w:keepLines/>
      <w:spacing w:before="40" w:after="0"/>
      <w:outlineLvl w:val="4"/>
    </w:pPr>
    <w:rPr>
      <w:rFonts w:asciiTheme="majorHAnsi" w:eastAsiaTheme="majorEastAsia" w:hAnsiTheme="majorHAnsi" w:cstheme="majorBidi"/>
      <w:color w:val="1B80B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6BC"/>
    <w:rPr>
      <w:rFonts w:ascii="Tahoma" w:eastAsiaTheme="majorEastAsia" w:hAnsi="Tahoma" w:cstheme="majorBidi"/>
      <w:color w:val="1B80B2" w:themeColor="accent1" w:themeShade="BF"/>
      <w:sz w:val="24"/>
      <w:szCs w:val="32"/>
    </w:rPr>
  </w:style>
  <w:style w:type="paragraph" w:styleId="Title">
    <w:name w:val="Title"/>
    <w:basedOn w:val="Normal"/>
    <w:next w:val="Normal"/>
    <w:link w:val="Title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A907E6"/>
    <w:rPr>
      <w:rFonts w:ascii="Tahoma" w:eastAsiaTheme="majorEastAsia" w:hAnsi="Tahoma" w:cstheme="majorBidi"/>
      <w:color w:val="1B80B2" w:themeColor="accent1" w:themeShade="BF"/>
      <w:sz w:val="36"/>
      <w:szCs w:val="26"/>
    </w:rPr>
  </w:style>
  <w:style w:type="character" w:styleId="Hyperlink">
    <w:name w:val="Hyperlink"/>
    <w:basedOn w:val="DefaultParagraphFont"/>
    <w:uiPriority w:val="99"/>
    <w:unhideWhenUsed/>
    <w:rsid w:val="007D4017"/>
    <w:rPr>
      <w:color w:val="0000FF"/>
      <w:u w:val="single"/>
    </w:rPr>
  </w:style>
  <w:style w:type="table" w:styleId="TableGrid">
    <w:name w:val="Table Grid"/>
    <w:basedOn w:val="TableNormal"/>
    <w:uiPriority w:val="59"/>
    <w:rsid w:val="00CF4615"/>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PTHeading1">
    <w:name w:val="BIPT Heading 1"/>
    <w:basedOn w:val="Heading1"/>
    <w:next w:val="Normal"/>
    <w:qFormat/>
    <w:rsid w:val="00D42332"/>
    <w:pPr>
      <w:keepNext w:val="0"/>
      <w:numPr>
        <w:ilvl w:val="1"/>
        <w:numId w:val="1"/>
      </w:numPr>
      <w:spacing w:before="480" w:after="360" w:line="240" w:lineRule="auto"/>
      <w:jc w:val="both"/>
    </w:pPr>
    <w:rPr>
      <w:rFonts w:eastAsia="Times New Roman" w:cs="Times New Roman"/>
      <w:b/>
      <w:bCs/>
      <w:color w:val="292A81"/>
      <w:sz w:val="28"/>
      <w:szCs w:val="28"/>
      <w:lang w:val="fr-BE"/>
    </w:rPr>
  </w:style>
  <w:style w:type="paragraph" w:customStyle="1" w:styleId="BIPTHeading2">
    <w:name w:val="BIPT Heading 2"/>
    <w:basedOn w:val="Heading2"/>
    <w:next w:val="Normal"/>
    <w:qFormat/>
    <w:rsid w:val="00CF4615"/>
    <w:pPr>
      <w:numPr>
        <w:ilvl w:val="2"/>
        <w:numId w:val="1"/>
      </w:numPr>
      <w:spacing w:before="360" w:after="240" w:line="240" w:lineRule="auto"/>
      <w:jc w:val="both"/>
    </w:pPr>
    <w:rPr>
      <w:rFonts w:eastAsia="Times New Roman" w:cs="Times New Roman"/>
      <w:b/>
      <w:bCs/>
      <w:color w:val="002060"/>
      <w:sz w:val="24"/>
      <w:lang w:val="fr-BE"/>
    </w:rPr>
  </w:style>
  <w:style w:type="paragraph" w:customStyle="1" w:styleId="BIPTHeading3">
    <w:name w:val="BIPT Heading 3"/>
    <w:basedOn w:val="Heading3"/>
    <w:next w:val="Normal"/>
    <w:qFormat/>
    <w:rsid w:val="00CF4615"/>
    <w:pPr>
      <w:numPr>
        <w:ilvl w:val="3"/>
        <w:numId w:val="1"/>
      </w:numPr>
      <w:tabs>
        <w:tab w:val="num" w:pos="360"/>
      </w:tabs>
      <w:spacing w:before="360" w:after="240" w:line="240" w:lineRule="auto"/>
      <w:ind w:left="0" w:firstLine="0"/>
      <w:jc w:val="both"/>
    </w:pPr>
    <w:rPr>
      <w:rFonts w:ascii="Tahoma" w:eastAsia="Times New Roman" w:hAnsi="Tahoma" w:cs="Times New Roman"/>
      <w:b/>
      <w:bCs/>
      <w:color w:val="002060"/>
      <w:sz w:val="20"/>
      <w:szCs w:val="22"/>
      <w:lang w:val="fr-BE"/>
    </w:rPr>
  </w:style>
  <w:style w:type="paragraph" w:customStyle="1" w:styleId="BIPTHeading4">
    <w:name w:val="BIPT Heading 4"/>
    <w:basedOn w:val="Heading4"/>
    <w:next w:val="Normal"/>
    <w:qFormat/>
    <w:rsid w:val="00CF4615"/>
    <w:pPr>
      <w:keepNext w:val="0"/>
      <w:numPr>
        <w:ilvl w:val="4"/>
        <w:numId w:val="1"/>
      </w:numPr>
      <w:tabs>
        <w:tab w:val="num" w:pos="360"/>
      </w:tabs>
      <w:spacing w:before="360" w:after="240" w:line="240" w:lineRule="auto"/>
      <w:ind w:left="0" w:firstLine="0"/>
      <w:jc w:val="both"/>
    </w:pPr>
    <w:rPr>
      <w:rFonts w:ascii="Tahoma" w:eastAsia="Times New Roman" w:hAnsi="Tahoma" w:cs="Times New Roman"/>
      <w:b/>
      <w:bCs/>
      <w:color w:val="002060"/>
      <w:lang w:val="fr-BE"/>
    </w:rPr>
  </w:style>
  <w:style w:type="paragraph" w:customStyle="1" w:styleId="BIPTHeading5">
    <w:name w:val="BIPT Heading 5"/>
    <w:basedOn w:val="Heading5"/>
    <w:next w:val="Normal"/>
    <w:qFormat/>
    <w:rsid w:val="00CF4615"/>
    <w:pPr>
      <w:numPr>
        <w:ilvl w:val="5"/>
        <w:numId w:val="1"/>
      </w:numPr>
      <w:tabs>
        <w:tab w:val="num" w:pos="360"/>
      </w:tabs>
      <w:spacing w:before="360" w:after="240" w:line="240" w:lineRule="auto"/>
      <w:ind w:left="3960" w:hanging="180"/>
      <w:jc w:val="both"/>
    </w:pPr>
    <w:rPr>
      <w:color w:val="0070C0"/>
      <w:lang w:val="fr-BE"/>
    </w:rPr>
  </w:style>
  <w:style w:type="character" w:customStyle="1" w:styleId="Heading3Char">
    <w:name w:val="Heading 3 Char"/>
    <w:basedOn w:val="DefaultParagraphFont"/>
    <w:link w:val="Heading3"/>
    <w:uiPriority w:val="9"/>
    <w:semiHidden/>
    <w:rsid w:val="00CF4615"/>
    <w:rPr>
      <w:rFonts w:asciiTheme="majorHAnsi" w:eastAsiaTheme="majorEastAsia" w:hAnsiTheme="majorHAnsi" w:cstheme="majorBidi"/>
      <w:color w:val="125576" w:themeColor="accent1" w:themeShade="7F"/>
      <w:sz w:val="24"/>
      <w:szCs w:val="24"/>
    </w:rPr>
  </w:style>
  <w:style w:type="character" w:customStyle="1" w:styleId="Heading4Char">
    <w:name w:val="Heading 4 Char"/>
    <w:basedOn w:val="DefaultParagraphFont"/>
    <w:link w:val="Heading4"/>
    <w:uiPriority w:val="9"/>
    <w:semiHidden/>
    <w:rsid w:val="00CF4615"/>
    <w:rPr>
      <w:rFonts w:asciiTheme="majorHAnsi" w:eastAsiaTheme="majorEastAsia" w:hAnsiTheme="majorHAnsi" w:cstheme="majorBidi"/>
      <w:i/>
      <w:iCs/>
      <w:color w:val="1B80B2" w:themeColor="accent1" w:themeShade="BF"/>
      <w:sz w:val="20"/>
    </w:rPr>
  </w:style>
  <w:style w:type="character" w:customStyle="1" w:styleId="Heading5Char">
    <w:name w:val="Heading 5 Char"/>
    <w:basedOn w:val="DefaultParagraphFont"/>
    <w:link w:val="Heading5"/>
    <w:uiPriority w:val="9"/>
    <w:semiHidden/>
    <w:rsid w:val="00CF4615"/>
    <w:rPr>
      <w:rFonts w:asciiTheme="majorHAnsi" w:eastAsiaTheme="majorEastAsia" w:hAnsiTheme="majorHAnsi" w:cstheme="majorBidi"/>
      <w:color w:val="1B80B2" w:themeColor="accent1" w:themeShade="BF"/>
      <w:sz w:val="20"/>
    </w:rPr>
  </w:style>
  <w:style w:type="character" w:styleId="CommentReference">
    <w:name w:val="annotation reference"/>
    <w:basedOn w:val="DefaultParagraphFont"/>
    <w:uiPriority w:val="99"/>
    <w:semiHidden/>
    <w:unhideWhenUsed/>
    <w:rsid w:val="00BC03AD"/>
    <w:rPr>
      <w:sz w:val="16"/>
      <w:szCs w:val="16"/>
    </w:rPr>
  </w:style>
  <w:style w:type="paragraph" w:styleId="CommentText">
    <w:name w:val="annotation text"/>
    <w:basedOn w:val="Normal"/>
    <w:link w:val="CommentTextChar"/>
    <w:uiPriority w:val="99"/>
    <w:semiHidden/>
    <w:unhideWhenUsed/>
    <w:rsid w:val="00BC03AD"/>
    <w:pPr>
      <w:spacing w:line="240" w:lineRule="auto"/>
    </w:pPr>
    <w:rPr>
      <w:szCs w:val="20"/>
    </w:rPr>
  </w:style>
  <w:style w:type="character" w:customStyle="1" w:styleId="CommentTextChar">
    <w:name w:val="Comment Text Char"/>
    <w:basedOn w:val="DefaultParagraphFont"/>
    <w:link w:val="CommentText"/>
    <w:uiPriority w:val="99"/>
    <w:semiHidden/>
    <w:rsid w:val="00BC03AD"/>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BC03AD"/>
    <w:rPr>
      <w:b/>
      <w:bCs/>
    </w:rPr>
  </w:style>
  <w:style w:type="character" w:customStyle="1" w:styleId="CommentSubjectChar">
    <w:name w:val="Comment Subject Char"/>
    <w:basedOn w:val="CommentTextChar"/>
    <w:link w:val="CommentSubject"/>
    <w:uiPriority w:val="99"/>
    <w:semiHidden/>
    <w:rsid w:val="00BC03AD"/>
    <w:rPr>
      <w:rFonts w:ascii="Tahoma" w:hAnsi="Tahoma"/>
      <w:b/>
      <w:bCs/>
      <w:sz w:val="20"/>
      <w:szCs w:val="20"/>
    </w:rPr>
  </w:style>
  <w:style w:type="paragraph" w:styleId="Revision">
    <w:name w:val="Revision"/>
    <w:hidden/>
    <w:uiPriority w:val="99"/>
    <w:semiHidden/>
    <w:rsid w:val="002F00EC"/>
    <w:pPr>
      <w:spacing w:after="0" w:line="240" w:lineRule="auto"/>
    </w:pPr>
    <w:rPr>
      <w:rFonts w:ascii="Tahoma" w:hAnsi="Tahoma"/>
      <w:sz w:val="20"/>
    </w:rPr>
  </w:style>
  <w:style w:type="paragraph" w:styleId="NoSpacing">
    <w:name w:val="No Spacing"/>
    <w:uiPriority w:val="1"/>
    <w:qFormat/>
    <w:rsid w:val="00DE6BC3"/>
    <w:pPr>
      <w:spacing w:after="0" w:line="240" w:lineRule="auto"/>
      <w:jc w:val="both"/>
    </w:pPr>
    <w:rPr>
      <w:rFonts w:ascii="Tahoma" w:eastAsia="Times New Roman" w:hAnsi="Tahoma" w:cs="Times New Roman"/>
      <w:sz w:val="20"/>
      <w:lang w:val="fr-BE"/>
    </w:rPr>
  </w:style>
  <w:style w:type="paragraph" w:styleId="Header">
    <w:name w:val="header"/>
    <w:basedOn w:val="Normal"/>
    <w:link w:val="HeaderChar"/>
    <w:uiPriority w:val="99"/>
    <w:unhideWhenUsed/>
    <w:rsid w:val="00DE6BC3"/>
    <w:pPr>
      <w:tabs>
        <w:tab w:val="center" w:pos="4703"/>
        <w:tab w:val="right" w:pos="9406"/>
      </w:tabs>
      <w:spacing w:after="0" w:line="240" w:lineRule="auto"/>
    </w:pPr>
  </w:style>
  <w:style w:type="character" w:customStyle="1" w:styleId="HeaderChar">
    <w:name w:val="Header Char"/>
    <w:basedOn w:val="DefaultParagraphFont"/>
    <w:link w:val="Header"/>
    <w:uiPriority w:val="99"/>
    <w:rsid w:val="00DE6BC3"/>
    <w:rPr>
      <w:rFonts w:ascii="Tahoma" w:hAnsi="Tahoma"/>
      <w:sz w:val="20"/>
    </w:rPr>
  </w:style>
  <w:style w:type="paragraph" w:styleId="Footer">
    <w:name w:val="footer"/>
    <w:basedOn w:val="Normal"/>
    <w:link w:val="FooterChar"/>
    <w:uiPriority w:val="99"/>
    <w:unhideWhenUsed/>
    <w:rsid w:val="00DE6BC3"/>
    <w:pPr>
      <w:tabs>
        <w:tab w:val="center" w:pos="4703"/>
        <w:tab w:val="right" w:pos="9406"/>
      </w:tabs>
      <w:spacing w:after="0" w:line="240" w:lineRule="auto"/>
    </w:pPr>
  </w:style>
  <w:style w:type="character" w:customStyle="1" w:styleId="FooterChar">
    <w:name w:val="Footer Char"/>
    <w:basedOn w:val="DefaultParagraphFont"/>
    <w:link w:val="Footer"/>
    <w:uiPriority w:val="99"/>
    <w:rsid w:val="00DE6BC3"/>
    <w:rPr>
      <w:rFonts w:ascii="Tahoma" w:hAnsi="Tahoma"/>
      <w:sz w:val="20"/>
    </w:rPr>
  </w:style>
  <w:style w:type="character" w:styleId="Emphasis">
    <w:name w:val="Emphasis"/>
    <w:basedOn w:val="DefaultParagraphFont"/>
    <w:uiPriority w:val="20"/>
    <w:qFormat/>
    <w:rsid w:val="004F172D"/>
    <w:rPr>
      <w:i/>
      <w:iCs/>
    </w:rPr>
  </w:style>
  <w:style w:type="character" w:styleId="FootnoteReference">
    <w:name w:val="footnote reference"/>
    <w:basedOn w:val="DefaultParagraphFont"/>
    <w:uiPriority w:val="99"/>
    <w:semiHidden/>
    <w:rsid w:val="00471407"/>
    <w:rPr>
      <w:vertAlign w:val="superscript"/>
    </w:rPr>
  </w:style>
  <w:style w:type="paragraph" w:styleId="FootnoteText">
    <w:name w:val="footnote text"/>
    <w:basedOn w:val="Normal"/>
    <w:link w:val="FootnoteTextChar"/>
    <w:uiPriority w:val="99"/>
    <w:semiHidden/>
    <w:unhideWhenUsed/>
    <w:rsid w:val="00471407"/>
    <w:pPr>
      <w:spacing w:after="0" w:line="240" w:lineRule="auto"/>
      <w:jc w:val="both"/>
    </w:pPr>
    <w:rPr>
      <w:rFonts w:eastAsia="Times New Roman" w:cs="Times New Roman"/>
      <w:szCs w:val="20"/>
      <w:lang w:val="fr-BE"/>
    </w:rPr>
  </w:style>
  <w:style w:type="character" w:customStyle="1" w:styleId="FootnoteTextChar">
    <w:name w:val="Footnote Text Char"/>
    <w:basedOn w:val="DefaultParagraphFont"/>
    <w:link w:val="FootnoteText"/>
    <w:uiPriority w:val="99"/>
    <w:semiHidden/>
    <w:rsid w:val="00471407"/>
    <w:rPr>
      <w:rFonts w:ascii="Tahoma" w:eastAsia="Times New Roman" w:hAnsi="Tahoma" w:cs="Times New Roman"/>
      <w:sz w:val="20"/>
      <w:szCs w:val="20"/>
      <w:lang w:val="fr-BE"/>
    </w:rPr>
  </w:style>
  <w:style w:type="paragraph" w:styleId="ListParagraph">
    <w:name w:val="List Paragraph"/>
    <w:basedOn w:val="Normal"/>
    <w:uiPriority w:val="34"/>
    <w:qFormat/>
    <w:rsid w:val="008B1926"/>
    <w:pPr>
      <w:ind w:left="720"/>
      <w:contextualSpacing/>
    </w:pPr>
  </w:style>
  <w:style w:type="paragraph" w:styleId="TOCHeading">
    <w:name w:val="TOC Heading"/>
    <w:basedOn w:val="Heading1"/>
    <w:next w:val="Normal"/>
    <w:uiPriority w:val="39"/>
    <w:unhideWhenUsed/>
    <w:qFormat/>
    <w:rsid w:val="004F330F"/>
    <w:pPr>
      <w:outlineLvl w:val="9"/>
    </w:pPr>
    <w:rPr>
      <w:rFonts w:asciiTheme="majorHAnsi" w:hAnsiTheme="majorHAnsi"/>
      <w:sz w:val="32"/>
    </w:rPr>
  </w:style>
  <w:style w:type="paragraph" w:styleId="TOC1">
    <w:name w:val="toc 1"/>
    <w:basedOn w:val="Normal"/>
    <w:next w:val="Normal"/>
    <w:autoRedefine/>
    <w:uiPriority w:val="39"/>
    <w:unhideWhenUsed/>
    <w:rsid w:val="004F330F"/>
    <w:pPr>
      <w:spacing w:after="100"/>
    </w:pPr>
  </w:style>
  <w:style w:type="paragraph" w:styleId="BalloonText">
    <w:name w:val="Balloon Text"/>
    <w:basedOn w:val="Normal"/>
    <w:link w:val="BalloonTextChar"/>
    <w:uiPriority w:val="99"/>
    <w:semiHidden/>
    <w:unhideWhenUsed/>
    <w:rsid w:val="00A62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2F1"/>
    <w:rPr>
      <w:rFonts w:ascii="Segoe UI" w:hAnsi="Segoe UI" w:cs="Segoe UI"/>
      <w:sz w:val="18"/>
      <w:szCs w:val="18"/>
    </w:rPr>
  </w:style>
  <w:style w:type="paragraph" w:styleId="ListBullet">
    <w:name w:val="List Bullet"/>
    <w:basedOn w:val="Normal"/>
    <w:uiPriority w:val="99"/>
    <w:unhideWhenUsed/>
    <w:rsid w:val="00B42EB4"/>
    <w:pPr>
      <w:numPr>
        <w:numId w:val="4"/>
      </w:numPr>
      <w:spacing w:after="200" w:line="276" w:lineRule="auto"/>
      <w:contextualSpacing/>
    </w:pPr>
    <w:rPr>
      <w:rFonts w:asciiTheme="minorHAnsi" w:hAnsiTheme="minorHAnsi"/>
      <w:sz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941b080a0d64219c61c483932755567f">
  <xsd:schema xmlns:xsd="http://www.w3.org/2001/XMLSchema" xmlns:xs="http://www.w3.org/2001/XMLSchema" xmlns:p="http://schemas.microsoft.com/office/2006/metadata/properties" xmlns:ns2="2b4b6fc7-bde4-44a8-8bca-a78eb25a27e9" targetNamespace="http://schemas.microsoft.com/office/2006/metadata/properties" ma:root="true" ma:fieldsID="cb3f6be10dd87ed603eec3f1c19b2862"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6a9e699e-14a6-4582-b99d-f214c5b8b963</TermId>
        </TermInfo>
      </Terms>
    </o3cf37d2a5d34fd7955003a053893e5e>
    <Master_x0020_Id xmlns="2b4b6fc7-bde4-44a8-8bca-a78eb25a27e9" xsi:nil="true"/>
    <Dossier_x0020_Number xmlns="2b4b6fc7-bde4-44a8-8bca-a78eb25a27e9">2020-001255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5</Value>
      <Value>27</Value>
    </TaxCatchAll>
    <QuickPartDocumentId xmlns="2b4b6fc7-bde4-44a8-8bca-a78eb25a27e9">DS20-1372834777-969</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DS20-1372834777-969</_dlc_DocId>
    <_dlc_DocIdUrl xmlns="2b4b6fc7-bde4-44a8-8bca-a78eb25a27e9">
      <Url>http://teamworkingspace.bipt.local/sites/dossiers2020/12/2020001255/_layouts/DocIdRedir.aspx?ID=DS20-1372834777-969</Url>
      <Description>DS20-1372834777-969</Description>
    </_dlc_DocIdUrl>
  </documentManagement>
</p:properties>
</file>

<file path=customXml/itemProps1.xml><?xml version="1.0" encoding="utf-8"?>
<ds:datastoreItem xmlns:ds="http://schemas.openxmlformats.org/officeDocument/2006/customXml" ds:itemID="{687AA9C6-E9FF-4752-96E9-0255CC862D62}"/>
</file>

<file path=customXml/itemProps2.xml><?xml version="1.0" encoding="utf-8"?>
<ds:datastoreItem xmlns:ds="http://schemas.openxmlformats.org/officeDocument/2006/customXml" ds:itemID="{CA76BBBA-2424-4187-8042-7833C068546D}"/>
</file>

<file path=customXml/itemProps3.xml><?xml version="1.0" encoding="utf-8"?>
<ds:datastoreItem xmlns:ds="http://schemas.openxmlformats.org/officeDocument/2006/customXml" ds:itemID="{0AF42237-949F-4DAE-9BC2-01AA77182AC8}"/>
</file>

<file path=customXml/itemProps4.xml><?xml version="1.0" encoding="utf-8"?>
<ds:datastoreItem xmlns:ds="http://schemas.openxmlformats.org/officeDocument/2006/customXml" ds:itemID="{C58422EB-83DD-4315-8C4A-E165ED90A29C}"/>
</file>

<file path=customXml/itemProps5.xml><?xml version="1.0" encoding="utf-8"?>
<ds:datastoreItem xmlns:ds="http://schemas.openxmlformats.org/officeDocument/2006/customXml" ds:itemID="{37D3DC8E-48E4-428B-8D28-5968B1D5C36A}"/>
</file>

<file path=customXml/itemProps6.xml><?xml version="1.0" encoding="utf-8"?>
<ds:datastoreItem xmlns:ds="http://schemas.openxmlformats.org/officeDocument/2006/customXml" ds:itemID="{4EB3CA5B-C838-4297-AC91-ECA0CA95D1DB}"/>
</file>

<file path=docProps/app.xml><?xml version="1.0" encoding="utf-8"?>
<Properties xmlns="http://schemas.openxmlformats.org/officeDocument/2006/extended-properties" xmlns:vt="http://schemas.openxmlformats.org/officeDocument/2006/docPropsVTypes">
  <Template>Normal</Template>
  <TotalTime>16</TotalTime>
  <Pages>3</Pages>
  <Words>1356</Words>
  <Characters>7731</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02 loi IBPT-statut version coordonnée et EdM_NL</vt:lpstr>
      <vt:lpstr>02 loi IBPT-statut version coordonnée et EdM NL FR_NL</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loi IBPT-statut version coordonnée et EdM_NL</dc:title>
  <dc:subject/>
  <dc:creator>Dethy Pierre-Yves</dc:creator>
  <cp:keywords/>
  <dc:description/>
  <cp:lastModifiedBy>Dethy Pierre-Yves</cp:lastModifiedBy>
  <cp:revision>9</cp:revision>
  <dcterms:created xsi:type="dcterms:W3CDTF">2021-04-23T17:26:00Z</dcterms:created>
  <dcterms:modified xsi:type="dcterms:W3CDTF">2021-05-07T05:41:00Z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64b2ec65-67d9-453a-b6cc-1f998043e045</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27;#Legal Department|dd78c772-9794-4686-a245-4df1b644d6ba</vt:lpwstr>
  </property>
  <property fmtid="{D5CDD505-2E9C-101B-9397-08002B2CF9AE}" pid="8" name="Languages">
    <vt:lpwstr>5;#Dutch|6a9e699e-14a6-4582-b99d-f214c5b8b963</vt:lpwstr>
  </property>
  <property fmtid="{D5CDD505-2E9C-101B-9397-08002B2CF9AE}" pid="9" name="Document Type">
    <vt:lpwstr/>
  </property>
  <property fmtid="{D5CDD505-2E9C-101B-9397-08002B2CF9AE}" pid="10" name="Answer or Initiative">
    <vt:lpwstr/>
  </property>
</Properties>
</file>