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3" w:type="dxa"/>
          <w:right w:w="283" w:type="dxa"/>
        </w:tblCellMar>
        <w:tblLook w:val="04A0" w:firstRow="1" w:lastRow="0" w:firstColumn="1" w:lastColumn="0" w:noHBand="0" w:noVBand="1"/>
      </w:tblPr>
      <w:tblGrid>
        <w:gridCol w:w="4822"/>
        <w:gridCol w:w="4824"/>
      </w:tblGrid>
      <w:tr w:rsidR="00A15E74" w:rsidRPr="00A15E74" w14:paraId="09A53ACF" w14:textId="77777777" w:rsidTr="007D268D">
        <w:tc>
          <w:tcPr>
            <w:tcW w:w="9646" w:type="dxa"/>
            <w:gridSpan w:val="2"/>
            <w:hideMark/>
          </w:tcPr>
          <w:p w14:paraId="235832E5" w14:textId="511AF9AD" w:rsidR="00A15E74" w:rsidRPr="00447CEA" w:rsidRDefault="00A15E74" w:rsidP="00A15E74">
            <w:pPr>
              <w:keepNext/>
              <w:spacing w:before="280" w:after="280" w:line="240" w:lineRule="auto"/>
              <w:jc w:val="center"/>
              <w:outlineLvl w:val="8"/>
              <w:rPr>
                <w:rFonts w:ascii="Arial" w:eastAsia="Times New Roman" w:hAnsi="Arial" w:cs="Arial"/>
                <w:b/>
                <w:lang w:val="fr-BE" w:eastAsia="nl-BE"/>
              </w:rPr>
            </w:pPr>
            <w:r>
              <w:rPr>
                <w:rFonts w:ascii="Arial" w:eastAsia="Times New Roman" w:hAnsi="Arial" w:cs="Arial"/>
                <w:b/>
                <w:bCs/>
                <w:lang w:val="fr-FR" w:eastAsia="nl-BE"/>
              </w:rPr>
              <w:t xml:space="preserve">Version coordonnée </w:t>
            </w:r>
            <w:r w:rsidRPr="00447CEA">
              <w:rPr>
                <w:rFonts w:ascii="Arial" w:eastAsia="Times New Roman" w:hAnsi="Arial" w:cs="Arial"/>
                <w:b/>
                <w:bCs/>
                <w:lang w:val="fr-FR" w:eastAsia="nl-BE"/>
              </w:rPr>
              <w:t>de la loi du 24 janvier 1977 relative à la protection de la santé des consommateurs en ce qui concerne les denrées alimentaires et les autres produits</w:t>
            </w:r>
            <w:r>
              <w:rPr>
                <w:rFonts w:ascii="Arial" w:eastAsia="Times New Roman" w:hAnsi="Arial" w:cs="Arial"/>
                <w:b/>
                <w:bCs/>
                <w:lang w:val="fr-FR" w:eastAsia="nl-BE"/>
              </w:rPr>
              <w:t xml:space="preserve"> (chapitre 8 du dispositif) </w:t>
            </w:r>
          </w:p>
        </w:tc>
      </w:tr>
      <w:tr w:rsidR="007014B6" w:rsidRPr="00447CEA" w14:paraId="24187DCA" w14:textId="77777777" w:rsidTr="003B1CCA">
        <w:tc>
          <w:tcPr>
            <w:tcW w:w="4822" w:type="dxa"/>
            <w:hideMark/>
          </w:tcPr>
          <w:p w14:paraId="22CDD2D8" w14:textId="3743F3AE" w:rsidR="007014B6" w:rsidRPr="00447CEA" w:rsidRDefault="00416BD8" w:rsidP="007014B6">
            <w:pPr>
              <w:keepNext/>
              <w:spacing w:before="280" w:after="280" w:line="240" w:lineRule="auto"/>
              <w:jc w:val="center"/>
              <w:outlineLvl w:val="8"/>
              <w:rPr>
                <w:rFonts w:ascii="Arial" w:eastAsia="Times New Roman" w:hAnsi="Arial" w:cs="Arial"/>
                <w:b/>
                <w:lang w:val="fr-BE" w:eastAsia="nl-BE"/>
              </w:rPr>
            </w:pPr>
            <w:r w:rsidRPr="00447CEA">
              <w:rPr>
                <w:rFonts w:ascii="Arial" w:eastAsia="Times New Roman" w:hAnsi="Arial" w:cs="Arial"/>
                <w:b/>
                <w:lang w:val="fr-BE" w:eastAsia="nl-BE"/>
              </w:rPr>
              <w:t>Texte de base</w:t>
            </w:r>
          </w:p>
        </w:tc>
        <w:tc>
          <w:tcPr>
            <w:tcW w:w="4824" w:type="dxa"/>
            <w:hideMark/>
          </w:tcPr>
          <w:p w14:paraId="4D1E726C" w14:textId="1FE0FA02" w:rsidR="007014B6" w:rsidRPr="00447CEA" w:rsidRDefault="00416BD8" w:rsidP="007014B6">
            <w:pPr>
              <w:keepNext/>
              <w:spacing w:before="280" w:after="280" w:line="240" w:lineRule="auto"/>
              <w:jc w:val="center"/>
              <w:outlineLvl w:val="8"/>
              <w:rPr>
                <w:rFonts w:ascii="Arial" w:eastAsia="Times New Roman" w:hAnsi="Arial" w:cs="Arial"/>
                <w:b/>
                <w:lang w:val="fr-BE" w:eastAsia="nl-BE"/>
              </w:rPr>
            </w:pPr>
            <w:r w:rsidRPr="00447CEA">
              <w:rPr>
                <w:rFonts w:ascii="Arial" w:eastAsia="Times New Roman" w:hAnsi="Arial" w:cs="Arial"/>
                <w:b/>
                <w:lang w:val="fr-BE" w:eastAsia="nl-BE"/>
              </w:rPr>
              <w:t>Texte modifié</w:t>
            </w:r>
          </w:p>
        </w:tc>
      </w:tr>
      <w:tr w:rsidR="003B1CCA" w:rsidRPr="00447CEA" w14:paraId="38D81FF8" w14:textId="77777777" w:rsidTr="003B1CCA">
        <w:tc>
          <w:tcPr>
            <w:tcW w:w="4822" w:type="dxa"/>
          </w:tcPr>
          <w:p w14:paraId="5A9E7F14" w14:textId="53ADFB2E" w:rsidR="003B1CCA" w:rsidRPr="00447CEA" w:rsidRDefault="00C65901" w:rsidP="007014B6">
            <w:pPr>
              <w:keepNext/>
              <w:spacing w:before="280" w:after="280" w:line="240" w:lineRule="auto"/>
              <w:jc w:val="center"/>
              <w:outlineLvl w:val="8"/>
              <w:rPr>
                <w:rFonts w:ascii="Arial" w:eastAsia="Times New Roman" w:hAnsi="Arial" w:cs="Arial"/>
                <w:b/>
                <w:lang w:val="fr-BE" w:eastAsia="nl-BE"/>
              </w:rPr>
            </w:pPr>
            <w:r w:rsidRPr="00447CEA">
              <w:rPr>
                <w:rFonts w:ascii="Arial" w:eastAsia="Times New Roman" w:hAnsi="Arial" w:cs="Arial"/>
                <w:b/>
                <w:lang w:val="fr-BE" w:eastAsia="nl-BE"/>
              </w:rPr>
              <w:t xml:space="preserve">Art. </w:t>
            </w:r>
            <w:r w:rsidR="00447CEA" w:rsidRPr="00447CEA">
              <w:rPr>
                <w:rFonts w:ascii="Arial" w:eastAsia="Times New Roman" w:hAnsi="Arial" w:cs="Arial"/>
                <w:b/>
                <w:lang w:val="fr-BE" w:eastAsia="nl-BE"/>
              </w:rPr>
              <w:t>11</w:t>
            </w:r>
          </w:p>
        </w:tc>
        <w:tc>
          <w:tcPr>
            <w:tcW w:w="4824" w:type="dxa"/>
          </w:tcPr>
          <w:p w14:paraId="0D7E1429" w14:textId="1CA222FB" w:rsidR="003B1CCA" w:rsidRPr="00447CEA" w:rsidRDefault="00C65901" w:rsidP="007014B6">
            <w:pPr>
              <w:keepNext/>
              <w:spacing w:before="280" w:after="280" w:line="240" w:lineRule="auto"/>
              <w:jc w:val="center"/>
              <w:outlineLvl w:val="8"/>
              <w:rPr>
                <w:rFonts w:ascii="Arial" w:eastAsia="Times New Roman" w:hAnsi="Arial" w:cs="Arial"/>
                <w:b/>
                <w:lang w:val="fr-BE" w:eastAsia="nl-BE"/>
              </w:rPr>
            </w:pPr>
            <w:r w:rsidRPr="00447CEA">
              <w:rPr>
                <w:rFonts w:ascii="Arial" w:eastAsia="Times New Roman" w:hAnsi="Arial" w:cs="Arial"/>
                <w:b/>
                <w:lang w:val="fr-BE" w:eastAsia="nl-BE"/>
              </w:rPr>
              <w:t xml:space="preserve">Art. </w:t>
            </w:r>
            <w:r w:rsidR="00447CEA" w:rsidRPr="00447CEA">
              <w:rPr>
                <w:rFonts w:ascii="Arial" w:eastAsia="Times New Roman" w:hAnsi="Arial" w:cs="Arial"/>
                <w:b/>
                <w:lang w:val="fr-BE" w:eastAsia="nl-BE"/>
              </w:rPr>
              <w:t>11</w:t>
            </w:r>
            <w:r w:rsidR="00A15E74">
              <w:rPr>
                <w:rFonts w:ascii="Arial" w:eastAsia="Times New Roman" w:hAnsi="Arial" w:cs="Arial"/>
                <w:b/>
                <w:lang w:val="fr-BE" w:eastAsia="nl-BE"/>
              </w:rPr>
              <w:t xml:space="preserve"> (art. 33 du dispositif)  </w:t>
            </w:r>
          </w:p>
        </w:tc>
      </w:tr>
      <w:tr w:rsidR="00416BD8" w:rsidRPr="00A15E74" w14:paraId="3C128F2C" w14:textId="77777777" w:rsidTr="003B1CCA">
        <w:tc>
          <w:tcPr>
            <w:tcW w:w="4822" w:type="dxa"/>
          </w:tcPr>
          <w:p w14:paraId="496B5F04" w14:textId="12C64998" w:rsidR="00416BD8" w:rsidRPr="00447CEA" w:rsidRDefault="00416BD8" w:rsidP="00416BD8">
            <w:pPr>
              <w:jc w:val="both"/>
              <w:rPr>
                <w:rFonts w:ascii="Arial" w:eastAsia="Times New Roman" w:hAnsi="Arial" w:cs="Arial"/>
                <w:bCs/>
                <w:lang w:val="fr-BE" w:eastAsia="nl-BE"/>
              </w:rPr>
            </w:pPr>
            <w:r w:rsidRPr="00447CEA">
              <w:rPr>
                <w:rFonts w:ascii="Arial" w:eastAsia="Times New Roman" w:hAnsi="Arial" w:cs="Arial"/>
                <w:bCs/>
                <w:lang w:val="fr-BE" w:eastAsia="nl-BE"/>
              </w:rPr>
              <w:t> </w:t>
            </w:r>
            <w:r w:rsidRPr="0018120D">
              <w:rPr>
                <w:rFonts w:ascii="Arial" w:eastAsia="Times New Roman" w:hAnsi="Arial" w:cs="Arial"/>
                <w:b/>
                <w:lang w:val="fr-BE" w:eastAsia="nl-BE"/>
              </w:rPr>
              <w:t>§</w:t>
            </w:r>
            <w:r w:rsidR="0018120D" w:rsidRPr="0018120D">
              <w:rPr>
                <w:rFonts w:ascii="Arial" w:eastAsia="Times New Roman" w:hAnsi="Arial" w:cs="Arial"/>
                <w:b/>
                <w:lang w:val="fr-BE" w:eastAsia="nl-BE"/>
              </w:rPr>
              <w:t xml:space="preserve"> </w:t>
            </w:r>
            <w:r w:rsidRPr="0018120D">
              <w:rPr>
                <w:rFonts w:ascii="Arial" w:eastAsia="Times New Roman" w:hAnsi="Arial" w:cs="Arial"/>
                <w:b/>
                <w:lang w:val="fr-BE" w:eastAsia="nl-BE"/>
              </w:rPr>
              <w:t>1er.</w:t>
            </w:r>
            <w:r w:rsidRPr="00447CEA">
              <w:rPr>
                <w:rFonts w:ascii="Arial" w:eastAsia="Times New Roman" w:hAnsi="Arial" w:cs="Arial"/>
                <w:bCs/>
                <w:lang w:val="fr-BE" w:eastAsia="nl-BE"/>
              </w:rPr>
              <w:t xml:space="preserve">  Sans préjudice des attributions des officiers de police judiciaire, les membres du personnel statutaire ou contractuel du Service public fédéral Santé publique, Sécurité de la chaîne alimentaire et Environnement désignés à cette fin par le Roi surveillent l'exécution des dispositions de la présente loi et de ses arrêtés d'exécution ainsi que des règlements de l'Union européenne et qui relèvent des compétences du Service public fédéral Santé publique, Sécurité de la Chaîne alimentaire et Environnement en effectuant des inspections inopinées, munis de pièces justificatives de leurs fonctions qui sont établies par le Roi.</w:t>
            </w:r>
            <w:r w:rsidRPr="00447CEA">
              <w:rPr>
                <w:rFonts w:ascii="Arial" w:eastAsia="Times New Roman" w:hAnsi="Arial" w:cs="Arial"/>
                <w:bCs/>
                <w:lang w:val="fr-BE" w:eastAsia="nl-BE"/>
              </w:rPr>
              <w:br/>
              <w:t>   Les membres du personnel contractuel prêtent serment, préalablement à l'exercice de leurs fonctions, entre les mains du ministre ou de son délégué.</w:t>
            </w:r>
            <w:r w:rsidRPr="00447CEA">
              <w:rPr>
                <w:rFonts w:ascii="Arial" w:eastAsia="Times New Roman" w:hAnsi="Arial" w:cs="Arial"/>
                <w:bCs/>
                <w:lang w:val="fr-BE" w:eastAsia="nl-BE"/>
              </w:rPr>
              <w:br/>
              <w:t xml:space="preserve">   Les membres du personnel statutaire ou contractuel du Service public fédéral Santé publique, Sécurité de la Chaîne alimentaire et l'Environnement désignés par le Roi pour la surveillance de l'application de la présente loi et des arrêtés pris en exécution de celle-ci peuvent, dans les limites de l'exécution de leur compétence, pénétrer, sans avertissement préalable, en tous lieux affectés au commerce des denrées alimentaires ou autres produits visés par la présente loi et dans les dépôts attenant à ces lieux et autres lieux soumis à leur contrôle ou dans lesquels ils peuvent avoir un motif raisonnable de supposer qu'il existe des infractions aux dispositions des </w:t>
            </w:r>
            <w:r w:rsidRPr="00447CEA">
              <w:rPr>
                <w:rFonts w:ascii="Arial" w:eastAsia="Times New Roman" w:hAnsi="Arial" w:cs="Arial"/>
                <w:bCs/>
                <w:lang w:val="fr-BE" w:eastAsia="nl-BE"/>
              </w:rPr>
              <w:lastRenderedPageBreak/>
              <w:t>législations dont ils exercent la surveillance. Ils peuvent les fouiller, même si ceux-ci ne sont pas accessibles au public.</w:t>
            </w:r>
            <w:r w:rsidRPr="00447CEA">
              <w:rPr>
                <w:rFonts w:ascii="Arial" w:eastAsia="Times New Roman" w:hAnsi="Arial" w:cs="Arial"/>
                <w:bCs/>
                <w:lang w:val="fr-BE" w:eastAsia="nl-BE"/>
              </w:rPr>
              <w:br/>
              <w:t>   Ils peuvent pénétrer sans avertissement préalable, à tout moment, dans les lieux qui servent à la fabrication des denrées alimentaires ou autres produits visés par la présente loi et destinés au commerce, ainsi que dans les lieux où ils sont entreposés.</w:t>
            </w:r>
            <w:r w:rsidRPr="00447CEA">
              <w:rPr>
                <w:rFonts w:ascii="Arial" w:eastAsia="Times New Roman" w:hAnsi="Arial" w:cs="Arial"/>
                <w:bCs/>
                <w:lang w:val="fr-BE" w:eastAsia="nl-BE"/>
              </w:rPr>
              <w:br/>
              <w:t>   La visite des lieux servant exclusivement d'habitation n'est permise qu'entre 5 heures du matin et 9 heures du soir et il ne peut y être procédé qu'avec l'autorisation du juge.</w:t>
            </w:r>
            <w:r w:rsidRPr="00447CEA">
              <w:rPr>
                <w:rFonts w:ascii="Arial" w:eastAsia="Times New Roman" w:hAnsi="Arial" w:cs="Arial"/>
                <w:bCs/>
                <w:lang w:val="fr-BE" w:eastAsia="nl-BE"/>
              </w:rPr>
              <w:br/>
              <w:t>   Ils peuvent exiger la production de tous écrits et documents commerciaux relatifs aux denrées alimentaires et autres produits visés par la présente loi et de tous documents imposés par les arrêtés pris en exécution de la présente loi.</w:t>
            </w:r>
            <w:r w:rsidRPr="00447CEA">
              <w:rPr>
                <w:rFonts w:ascii="Arial" w:eastAsia="Times New Roman" w:hAnsi="Arial" w:cs="Arial"/>
                <w:bCs/>
                <w:lang w:val="fr-BE" w:eastAsia="nl-BE"/>
              </w:rPr>
              <w:br/>
              <w:t xml:space="preserve">   Ils peuvent procéder au contrôle des transports, transport en commun et des moyens de transports. </w:t>
            </w:r>
          </w:p>
        </w:tc>
        <w:tc>
          <w:tcPr>
            <w:tcW w:w="4824" w:type="dxa"/>
          </w:tcPr>
          <w:p w14:paraId="6BE316C1" w14:textId="2F9D480F" w:rsidR="00416BD8" w:rsidRPr="00447CEA" w:rsidRDefault="00416BD8" w:rsidP="00416BD8">
            <w:pPr>
              <w:jc w:val="both"/>
              <w:rPr>
                <w:rFonts w:ascii="Arial" w:eastAsia="Times New Roman" w:hAnsi="Arial" w:cs="Arial"/>
                <w:bCs/>
                <w:lang w:val="fr-BE" w:eastAsia="nl-BE"/>
              </w:rPr>
            </w:pPr>
            <w:r w:rsidRPr="0018120D">
              <w:rPr>
                <w:rFonts w:ascii="Arial" w:eastAsia="Times New Roman" w:hAnsi="Arial" w:cs="Arial"/>
                <w:b/>
                <w:lang w:val="fr-BE" w:eastAsia="nl-BE"/>
              </w:rPr>
              <w:lastRenderedPageBreak/>
              <w:t> § 1er.</w:t>
            </w:r>
            <w:r w:rsidRPr="00447CEA">
              <w:rPr>
                <w:rFonts w:ascii="Arial" w:eastAsia="Times New Roman" w:hAnsi="Arial" w:cs="Arial"/>
                <w:bCs/>
                <w:lang w:val="fr-BE" w:eastAsia="nl-BE"/>
              </w:rPr>
              <w:t xml:space="preserve">  Sans préjudice des attributions des officiers de police judiciaire, les membres du personnel statutaire ou contractuel du Service public fédéral Santé publique, Sécurité de la chaîne alimentaire et Environnement désignés à cette fin par le Roi surveillent l'exécution des dispositions de la présente loi et de ses arrêtés d'exécution ainsi que des règlements de l'Union européenne et qui relèvent des compétences du Service public fédéral Santé publique, Sécurité de la Chaîne alimentaire et Environnement en effectuant des inspections inopinées, munis de pièces justificatives de leurs fonctions qui sont établies par le Roi.</w:t>
            </w:r>
            <w:r w:rsidRPr="00447CEA">
              <w:rPr>
                <w:rFonts w:ascii="Arial" w:eastAsia="Times New Roman" w:hAnsi="Arial" w:cs="Arial"/>
                <w:bCs/>
                <w:lang w:val="fr-BE" w:eastAsia="nl-BE"/>
              </w:rPr>
              <w:br/>
              <w:t>   Les membres du personnel contractuel prêtent serment, préalablement à l'exercice de leurs fonctions, entre les mains du ministre ou de son délégué.</w:t>
            </w:r>
            <w:r w:rsidRPr="00447CEA">
              <w:rPr>
                <w:rFonts w:ascii="Arial" w:eastAsia="Times New Roman" w:hAnsi="Arial" w:cs="Arial"/>
                <w:bCs/>
                <w:lang w:val="fr-BE" w:eastAsia="nl-BE"/>
              </w:rPr>
              <w:br/>
              <w:t xml:space="preserve">   Les membres du personnel statutaire ou contractuel du Service public fédéral Santé publique, Sécurité de la Chaîne alimentaire et l'Environnement désignés par le Roi pour la surveillance de l'application de la présente loi et des arrêtés pris en exécution de celle-ci peuvent, dans les limites de l'exécution de leur compétence, pénétrer, sans avertissement préalable, en tous lieux affectés au commerce des denrées alimentaires ou autres produits visés par la présente loi et dans les dépôts attenant à ces lieux et autres lieux soumis à leur contrôle ou dans lesquels ils peuvent avoir un motif raisonnable de supposer qu'il existe des infractions aux dispositions des </w:t>
            </w:r>
            <w:r w:rsidRPr="00447CEA">
              <w:rPr>
                <w:rFonts w:ascii="Arial" w:eastAsia="Times New Roman" w:hAnsi="Arial" w:cs="Arial"/>
                <w:bCs/>
                <w:lang w:val="fr-BE" w:eastAsia="nl-BE"/>
              </w:rPr>
              <w:lastRenderedPageBreak/>
              <w:t>législations dont ils exercent la surveillance. Ils peuvent les fouiller, même si ceux-ci ne sont pas accessibles au public.</w:t>
            </w:r>
            <w:r w:rsidRPr="00447CEA">
              <w:rPr>
                <w:rFonts w:ascii="Arial" w:eastAsia="Times New Roman" w:hAnsi="Arial" w:cs="Arial"/>
                <w:bCs/>
                <w:lang w:val="fr-BE" w:eastAsia="nl-BE"/>
              </w:rPr>
              <w:br/>
              <w:t>   Ils peuvent pénétrer sans avertissement préalable, à tout moment, dans les lieux qui servent à la fabrication des denrées alimentaires ou autres produits visés par la présente loi et destinés au commerce, ainsi que dans les lieux où ils sont entreposés.</w:t>
            </w:r>
            <w:r w:rsidRPr="00447CEA">
              <w:rPr>
                <w:rFonts w:ascii="Arial" w:eastAsia="Times New Roman" w:hAnsi="Arial" w:cs="Arial"/>
                <w:bCs/>
                <w:lang w:val="fr-BE" w:eastAsia="nl-BE"/>
              </w:rPr>
              <w:br/>
              <w:t>   La visite des lieux servant exclusivement d'habitation n'est permise qu'entre 5 heures du matin et 9 heures du soir et il ne peut y être procédé qu'avec l'autorisation du juge.</w:t>
            </w:r>
            <w:r w:rsidRPr="00447CEA">
              <w:rPr>
                <w:rFonts w:ascii="Arial" w:eastAsia="Times New Roman" w:hAnsi="Arial" w:cs="Arial"/>
                <w:bCs/>
                <w:lang w:val="fr-BE" w:eastAsia="nl-BE"/>
              </w:rPr>
              <w:br/>
              <w:t>   Ils peuvent exiger la production de tous écrits et documents commerciaux relatifs aux denrées alimentaires et autres produits visés par la présente loi et de tous documents imposés par les arrêtés pris en exécution de la présente loi.</w:t>
            </w:r>
            <w:r w:rsidRPr="00447CEA">
              <w:rPr>
                <w:rFonts w:ascii="Arial" w:eastAsia="Times New Roman" w:hAnsi="Arial" w:cs="Arial"/>
                <w:bCs/>
                <w:lang w:val="fr-BE" w:eastAsia="nl-BE"/>
              </w:rPr>
              <w:br/>
              <w:t xml:space="preserve">   Ils peuvent procéder au contrôle des transports, transport en commun et des moyens de transports. </w:t>
            </w:r>
          </w:p>
          <w:p w14:paraId="59D9285A" w14:textId="3FE235D3" w:rsidR="008B6AD8" w:rsidRPr="00447CEA" w:rsidRDefault="008B6AD8" w:rsidP="008B6AD8">
            <w:pPr>
              <w:jc w:val="both"/>
              <w:rPr>
                <w:rFonts w:ascii="Arial" w:hAnsi="Arial" w:cs="Arial"/>
                <w:b/>
                <w:bCs/>
                <w:lang w:val="fr-BE"/>
              </w:rPr>
            </w:pPr>
            <w:r w:rsidRPr="00447CEA">
              <w:rPr>
                <w:rFonts w:ascii="Arial" w:hAnsi="Arial" w:cs="Arial"/>
                <w:b/>
                <w:bCs/>
                <w:lang w:val="fr-BE"/>
              </w:rPr>
              <w:t xml:space="preserve">Ils peuvent identifier les personnes physiques et morales sur la base de leur numéro de téléphone ou de l’adresse IP à la source de la communication électronique. </w:t>
            </w:r>
          </w:p>
          <w:p w14:paraId="7AEDE294" w14:textId="77777777" w:rsidR="008B6AD8" w:rsidRPr="00447CEA" w:rsidRDefault="008B6AD8" w:rsidP="008B6AD8">
            <w:pPr>
              <w:jc w:val="both"/>
              <w:rPr>
                <w:rFonts w:ascii="Arial" w:hAnsi="Arial" w:cs="Arial"/>
                <w:b/>
                <w:bCs/>
                <w:lang w:val="fr-BE"/>
              </w:rPr>
            </w:pPr>
            <w:r w:rsidRPr="00447CEA">
              <w:rPr>
                <w:rFonts w:ascii="Arial" w:hAnsi="Arial" w:cs="Arial"/>
                <w:b/>
                <w:bCs/>
                <w:lang w:val="fr-BE"/>
              </w:rPr>
              <w:t xml:space="preserve">À cette fin, ils peuvent, sur requête dûment motivée, demander la mise à disposition de documents et de données d'identification à : </w:t>
            </w:r>
          </w:p>
          <w:p w14:paraId="131A3876" w14:textId="77777777" w:rsidR="008B6AD8" w:rsidRPr="00447CEA" w:rsidRDefault="008B6AD8" w:rsidP="008B6AD8">
            <w:pPr>
              <w:jc w:val="both"/>
              <w:rPr>
                <w:rFonts w:ascii="Arial" w:hAnsi="Arial" w:cs="Arial"/>
                <w:b/>
                <w:bCs/>
                <w:lang w:val="fr-BE"/>
              </w:rPr>
            </w:pPr>
            <w:r w:rsidRPr="00447CEA">
              <w:rPr>
                <w:rFonts w:ascii="Arial" w:hAnsi="Arial" w:cs="Arial"/>
                <w:b/>
                <w:bCs/>
                <w:lang w:val="fr-BE"/>
              </w:rPr>
              <w:t xml:space="preserve"> 1° l'opérateur d'un réseau de communications électroniques ; et </w:t>
            </w:r>
          </w:p>
          <w:p w14:paraId="6FF4C189" w14:textId="77777777" w:rsidR="008B6AD8" w:rsidRPr="00447CEA" w:rsidRDefault="008B6AD8" w:rsidP="008B6AD8">
            <w:pPr>
              <w:jc w:val="both"/>
              <w:rPr>
                <w:rFonts w:ascii="Arial" w:hAnsi="Arial" w:cs="Arial"/>
                <w:b/>
                <w:bCs/>
                <w:lang w:val="fr-BE"/>
              </w:rPr>
            </w:pPr>
            <w:r w:rsidRPr="00447CEA">
              <w:rPr>
                <w:rFonts w:ascii="Arial" w:hAnsi="Arial" w:cs="Arial"/>
                <w:b/>
                <w:bCs/>
                <w:lang w:val="fr-BE"/>
              </w:rPr>
              <w:t xml:space="preserve">2° toute personne qui met à disposition ou offre, sur le territoire belge, d'une quelconque manière, un service qui consiste à transmettre des signaux via des réseaux de communications électroniques ou à autoriser des utilisateurs à obtenir, recevoir ou diffuser des informations via un réseau de communications électroniques. Est également compris le fournisseur d'un </w:t>
            </w:r>
            <w:r w:rsidRPr="00447CEA">
              <w:rPr>
                <w:rFonts w:ascii="Arial" w:hAnsi="Arial" w:cs="Arial"/>
                <w:b/>
                <w:bCs/>
                <w:lang w:val="fr-BE"/>
              </w:rPr>
              <w:lastRenderedPageBreak/>
              <w:t>service de communications électroniques.</w:t>
            </w:r>
          </w:p>
          <w:p w14:paraId="37290787" w14:textId="1BB1873A" w:rsidR="00416BD8" w:rsidRPr="00447CEA" w:rsidRDefault="008B6AD8" w:rsidP="008B6AD8">
            <w:pPr>
              <w:jc w:val="both"/>
              <w:rPr>
                <w:rFonts w:ascii="Arial" w:hAnsi="Arial" w:cs="Arial"/>
                <w:lang w:val="fr-BE"/>
              </w:rPr>
            </w:pPr>
            <w:r w:rsidRPr="00447CEA">
              <w:rPr>
                <w:rFonts w:ascii="Arial" w:hAnsi="Arial" w:cs="Arial"/>
                <w:b/>
                <w:bCs/>
                <w:lang w:val="fr-BE"/>
              </w:rPr>
              <w:t xml:space="preserve">Sans préjudice d’une éventuelle délégation, chaque demande d'identification doit être approuvée au préalable, par écrit, par le chef du service Inspection produits de consommation du SPF Santé publique, Sécurité de la Chaîne alimentaire et Environnement. </w:t>
            </w:r>
            <w:r w:rsidRPr="00447CEA">
              <w:rPr>
                <w:rFonts w:ascii="Arial" w:hAnsi="Arial" w:cs="Arial"/>
                <w:lang w:val="fr-BE"/>
              </w:rPr>
              <w:t>»</w:t>
            </w:r>
          </w:p>
        </w:tc>
      </w:tr>
      <w:tr w:rsidR="00416BD8" w:rsidRPr="00A15E74" w14:paraId="568AA742" w14:textId="77777777" w:rsidTr="003B1CCA">
        <w:tc>
          <w:tcPr>
            <w:tcW w:w="4822" w:type="dxa"/>
          </w:tcPr>
          <w:p w14:paraId="3803120F" w14:textId="4F5E68F0" w:rsidR="00416BD8" w:rsidRPr="00447CEA" w:rsidRDefault="00416BD8" w:rsidP="00416BD8">
            <w:pPr>
              <w:jc w:val="both"/>
              <w:rPr>
                <w:rFonts w:ascii="Arial" w:eastAsia="Times New Roman" w:hAnsi="Arial" w:cs="Arial"/>
                <w:lang w:val="fr-BE" w:eastAsia="nl-BE"/>
              </w:rPr>
            </w:pPr>
            <w:r w:rsidRPr="00447CEA">
              <w:rPr>
                <w:rFonts w:ascii="Arial" w:eastAsia="Times New Roman" w:hAnsi="Arial" w:cs="Arial"/>
                <w:bCs/>
                <w:lang w:val="fr-BE" w:eastAsia="nl-BE"/>
              </w:rPr>
              <w:lastRenderedPageBreak/>
              <w:t>§ 2. Ils constatent les infractions aux lois et arrêtés sur la matière dans les procès-verbaux faisant foi jusqu'à preuve du contraire.</w:t>
            </w:r>
            <w:r w:rsidRPr="00447CEA">
              <w:rPr>
                <w:rFonts w:ascii="Arial" w:eastAsia="Times New Roman" w:hAnsi="Arial" w:cs="Arial"/>
                <w:bCs/>
                <w:lang w:val="fr-BE" w:eastAsia="nl-BE"/>
              </w:rPr>
              <w:br/>
              <w:t xml:space="preserve">  Ils peuvent procéder à l'audition du contrevenant et à toute autre audition utile. </w:t>
            </w:r>
            <w:r w:rsidRPr="00447CEA">
              <w:rPr>
                <w:rFonts w:ascii="Arial" w:eastAsia="Times New Roman" w:hAnsi="Arial" w:cs="Arial"/>
                <w:bCs/>
                <w:lang w:val="fr-BE" w:eastAsia="nl-BE"/>
              </w:rPr>
              <w:br/>
              <w:t xml:space="preserve">  Une copie du procès-verbal est transmise au contrevenant dans les trente jours de la constatation de l'infraction. </w:t>
            </w:r>
            <w:r w:rsidRPr="00447CEA">
              <w:rPr>
                <w:rFonts w:ascii="Arial" w:eastAsia="Times New Roman" w:hAnsi="Arial" w:cs="Arial"/>
                <w:bCs/>
                <w:lang w:val="fr-BE" w:eastAsia="nl-BE"/>
              </w:rPr>
              <w:br/>
              <w:t xml:space="preserve">  Ils peuvent requérir, dans l'exercice de leurs missions, l'assistance des forces de police. </w:t>
            </w:r>
            <w:r w:rsidRPr="00447CEA">
              <w:rPr>
                <w:rFonts w:ascii="Arial" w:eastAsia="Times New Roman" w:hAnsi="Arial" w:cs="Arial"/>
                <w:bCs/>
                <w:lang w:val="fr-BE" w:eastAsia="nl-BE"/>
              </w:rPr>
              <w:br/>
              <w:t xml:space="preserve">  Ils peuvent procéder au scellage d'appareils automatiques de distribution qui ne sont pas conforme à l'article 6, §§ 4 et 6. Les conditions à cet effet sont élaborées par le ministre. </w:t>
            </w:r>
            <w:r w:rsidRPr="00447CEA">
              <w:rPr>
                <w:rFonts w:ascii="Arial" w:eastAsia="Times New Roman" w:hAnsi="Arial" w:cs="Arial"/>
                <w:bCs/>
                <w:lang w:val="fr-BE" w:eastAsia="nl-BE"/>
              </w:rPr>
              <w:br/>
              <w:t>   Ils peuvent procéder à tout examen, contrôle et audition et recueillir toutes informations qu'ils estiment nécessaires pour s'assurer que les dispositions des législations dont ils exercent la surveillance sont effectivement observées et notamment prendre l'identité de toute personne dont ils estiment l'audition nécessaire pour l'exercice de la surveillance.</w:t>
            </w:r>
          </w:p>
        </w:tc>
        <w:tc>
          <w:tcPr>
            <w:tcW w:w="4824" w:type="dxa"/>
          </w:tcPr>
          <w:p w14:paraId="68D88C48" w14:textId="002A67D1" w:rsidR="00416BD8" w:rsidRPr="00447CEA" w:rsidRDefault="00416BD8" w:rsidP="00416BD8">
            <w:pPr>
              <w:jc w:val="both"/>
              <w:rPr>
                <w:rFonts w:ascii="Arial" w:hAnsi="Arial" w:cs="Arial"/>
                <w:lang w:val="fr-BE"/>
              </w:rPr>
            </w:pPr>
            <w:r w:rsidRPr="00447CEA">
              <w:rPr>
                <w:rFonts w:ascii="Arial" w:eastAsia="Times New Roman" w:hAnsi="Arial" w:cs="Arial"/>
                <w:bCs/>
                <w:lang w:val="fr-BE" w:eastAsia="nl-BE"/>
              </w:rPr>
              <w:t>§ 2. Ils constatent les infractions aux lois et arrêtés sur la matière dans les procès-verbaux faisant foi jusqu'à preuve du contraire.</w:t>
            </w:r>
            <w:r w:rsidRPr="00447CEA">
              <w:rPr>
                <w:rFonts w:ascii="Arial" w:eastAsia="Times New Roman" w:hAnsi="Arial" w:cs="Arial"/>
                <w:bCs/>
                <w:lang w:val="fr-BE" w:eastAsia="nl-BE"/>
              </w:rPr>
              <w:br/>
              <w:t xml:space="preserve">  Ils peuvent procéder à l'audition du contrevenant et à toute autre audition utile. </w:t>
            </w:r>
            <w:r w:rsidRPr="00447CEA">
              <w:rPr>
                <w:rFonts w:ascii="Arial" w:eastAsia="Times New Roman" w:hAnsi="Arial" w:cs="Arial"/>
                <w:bCs/>
                <w:lang w:val="fr-BE" w:eastAsia="nl-BE"/>
              </w:rPr>
              <w:br/>
              <w:t xml:space="preserve">  Une copie du procès-verbal est transmise au contrevenant dans les trente jours de la constatation de l'infraction. </w:t>
            </w:r>
            <w:r w:rsidRPr="00447CEA">
              <w:rPr>
                <w:rFonts w:ascii="Arial" w:eastAsia="Times New Roman" w:hAnsi="Arial" w:cs="Arial"/>
                <w:bCs/>
                <w:lang w:val="fr-BE" w:eastAsia="nl-BE"/>
              </w:rPr>
              <w:br/>
              <w:t xml:space="preserve">  Ils peuvent requérir, dans l'exercice de leurs missions, l'assistance des forces de police. </w:t>
            </w:r>
            <w:r w:rsidRPr="00447CEA">
              <w:rPr>
                <w:rFonts w:ascii="Arial" w:eastAsia="Times New Roman" w:hAnsi="Arial" w:cs="Arial"/>
                <w:bCs/>
                <w:lang w:val="fr-BE" w:eastAsia="nl-BE"/>
              </w:rPr>
              <w:br/>
              <w:t xml:space="preserve">  Ils peuvent procéder au scellage d'appareils automatiques de distribution qui ne sont pas conforme à l'article 6, §§ 4 et 6. Les conditions à cet effet sont élaborées par le ministre. </w:t>
            </w:r>
            <w:r w:rsidRPr="00447CEA">
              <w:rPr>
                <w:rFonts w:ascii="Arial" w:eastAsia="Times New Roman" w:hAnsi="Arial" w:cs="Arial"/>
                <w:bCs/>
                <w:lang w:val="fr-BE" w:eastAsia="nl-BE"/>
              </w:rPr>
              <w:br/>
              <w:t>   Ils peuvent procéder à tout examen, contrôle et audition et recueillir toutes informations qu'ils estiment nécessaires pour s'assurer que les dispositions des législations dont ils exercent la surveillance sont effectivement observées et notamment prendre l'identité de toute personne dont ils estiment l'audition nécessaire pour l'exercice de la surveillance.</w:t>
            </w:r>
          </w:p>
        </w:tc>
      </w:tr>
      <w:tr w:rsidR="00416BD8" w:rsidRPr="00A15E74" w14:paraId="6E421DD4" w14:textId="77777777" w:rsidTr="003B1CCA">
        <w:tc>
          <w:tcPr>
            <w:tcW w:w="4822" w:type="dxa"/>
          </w:tcPr>
          <w:p w14:paraId="203F678B" w14:textId="19C2E796" w:rsidR="00416BD8" w:rsidRPr="00447CEA" w:rsidRDefault="00416BD8" w:rsidP="00416BD8">
            <w:pPr>
              <w:jc w:val="both"/>
              <w:rPr>
                <w:rFonts w:ascii="Arial" w:eastAsia="Times New Roman" w:hAnsi="Arial" w:cs="Arial"/>
                <w:lang w:val="fr-BE" w:eastAsia="nl-BE"/>
              </w:rPr>
            </w:pPr>
            <w:r w:rsidRPr="00447CEA">
              <w:rPr>
                <w:rFonts w:ascii="Arial" w:eastAsia="Times New Roman" w:hAnsi="Arial" w:cs="Arial"/>
                <w:bCs/>
                <w:lang w:val="fr-BE" w:eastAsia="nl-BE"/>
              </w:rPr>
              <w:t xml:space="preserve">§ 3. Le procès-verbal constatant les infractions visées à l'article 19 et rédigé par les (personnes visées au § 1er) chargés de la surveillance désignés par le Roi, est transmis au fonctionnaire désigné en application de l'article 19. Au cas où le procès-verbal aurait été dressé par le bourgmestre ou son délégué, il peut également être envoyé au fonctionnaire précité. </w:t>
            </w:r>
            <w:r w:rsidRPr="00447CEA">
              <w:rPr>
                <w:rFonts w:ascii="Arial" w:eastAsia="Times New Roman" w:hAnsi="Arial" w:cs="Arial"/>
                <w:bCs/>
                <w:lang w:val="fr-BE" w:eastAsia="nl-BE"/>
              </w:rPr>
              <w:br/>
            </w:r>
            <w:r w:rsidRPr="00447CEA">
              <w:rPr>
                <w:rFonts w:ascii="Arial" w:eastAsia="Times New Roman" w:hAnsi="Arial" w:cs="Arial"/>
                <w:bCs/>
                <w:lang w:val="fr-BE" w:eastAsia="nl-BE"/>
              </w:rPr>
              <w:lastRenderedPageBreak/>
              <w:t xml:space="preserve">  En cas d'application de l'article 11bis, le procès-verbal n'est transmis au procureur du Roi que lorsqu'il n'a pas été donné suite à l'avertissement. </w:t>
            </w:r>
          </w:p>
        </w:tc>
        <w:tc>
          <w:tcPr>
            <w:tcW w:w="4824" w:type="dxa"/>
          </w:tcPr>
          <w:p w14:paraId="3B740DCC" w14:textId="49DE6743" w:rsidR="00416BD8" w:rsidRPr="00447CEA" w:rsidRDefault="00416BD8" w:rsidP="00416BD8">
            <w:pPr>
              <w:jc w:val="both"/>
              <w:rPr>
                <w:rFonts w:ascii="Arial" w:hAnsi="Arial" w:cs="Arial"/>
                <w:lang w:val="fr-BE"/>
              </w:rPr>
            </w:pPr>
            <w:r w:rsidRPr="00447CEA">
              <w:rPr>
                <w:rFonts w:ascii="Arial" w:eastAsia="Times New Roman" w:hAnsi="Arial" w:cs="Arial"/>
                <w:bCs/>
                <w:lang w:val="fr-BE" w:eastAsia="nl-BE"/>
              </w:rPr>
              <w:lastRenderedPageBreak/>
              <w:t xml:space="preserve">§ 3. Le procès-verbal constatant les infractions visées à l'article 19 et rédigé par les (personnes visées au § 1er) chargés de la surveillance désignés par le Roi, est transmis au fonctionnaire désigné en application de l'article 19. Au cas où le procès-verbal aurait été dressé par le bourgmestre ou son délégué, il peut également être envoyé au fonctionnaire précité. </w:t>
            </w:r>
            <w:r w:rsidRPr="00447CEA">
              <w:rPr>
                <w:rFonts w:ascii="Arial" w:eastAsia="Times New Roman" w:hAnsi="Arial" w:cs="Arial"/>
                <w:bCs/>
                <w:lang w:val="fr-BE" w:eastAsia="nl-BE"/>
              </w:rPr>
              <w:br/>
            </w:r>
            <w:r w:rsidRPr="00447CEA">
              <w:rPr>
                <w:rFonts w:ascii="Arial" w:eastAsia="Times New Roman" w:hAnsi="Arial" w:cs="Arial"/>
                <w:bCs/>
                <w:lang w:val="fr-BE" w:eastAsia="nl-BE"/>
              </w:rPr>
              <w:lastRenderedPageBreak/>
              <w:t>  En cas d'application de l'article 11bis, le procès-verbal n'est transmis au procureur du Roi que lorsqu'il n'a pas été donné suite à l'avertissement.</w:t>
            </w:r>
          </w:p>
        </w:tc>
      </w:tr>
      <w:tr w:rsidR="00416BD8" w:rsidRPr="00A15E74" w14:paraId="06720674" w14:textId="77777777" w:rsidTr="003B1CCA">
        <w:tc>
          <w:tcPr>
            <w:tcW w:w="4822" w:type="dxa"/>
          </w:tcPr>
          <w:p w14:paraId="64B66A52" w14:textId="738CAF87" w:rsidR="00416BD8" w:rsidRPr="00447CEA" w:rsidRDefault="00416BD8" w:rsidP="00416BD8">
            <w:pPr>
              <w:jc w:val="both"/>
              <w:rPr>
                <w:rFonts w:ascii="Arial" w:eastAsia="Times New Roman" w:hAnsi="Arial" w:cs="Arial"/>
                <w:lang w:val="fr-BE" w:eastAsia="nl-BE"/>
              </w:rPr>
            </w:pPr>
            <w:r w:rsidRPr="00447CEA">
              <w:rPr>
                <w:rFonts w:ascii="Arial" w:eastAsia="Times New Roman" w:hAnsi="Arial" w:cs="Arial"/>
                <w:bCs/>
                <w:lang w:val="fr-BE" w:eastAsia="nl-BE"/>
              </w:rPr>
              <w:lastRenderedPageBreak/>
              <w:t>§ 4. Le Roi peut fixer d'autres modalités de contrôle et d'inspection, afin de satisfaire aux obligations résultant des traités internationaux et des actes internationaux pris en vertu de ceux-ci.</w:t>
            </w:r>
          </w:p>
        </w:tc>
        <w:tc>
          <w:tcPr>
            <w:tcW w:w="4824" w:type="dxa"/>
          </w:tcPr>
          <w:p w14:paraId="4519B643" w14:textId="75A94908" w:rsidR="00416BD8" w:rsidRPr="00447CEA" w:rsidRDefault="00416BD8" w:rsidP="00416BD8">
            <w:pPr>
              <w:jc w:val="both"/>
              <w:rPr>
                <w:rFonts w:ascii="Arial" w:hAnsi="Arial" w:cs="Arial"/>
                <w:lang w:val="fr-BE"/>
              </w:rPr>
            </w:pPr>
            <w:r w:rsidRPr="00447CEA">
              <w:rPr>
                <w:rFonts w:ascii="Arial" w:eastAsia="Times New Roman" w:hAnsi="Arial" w:cs="Arial"/>
                <w:bCs/>
                <w:lang w:val="fr-BE" w:eastAsia="nl-BE"/>
              </w:rPr>
              <w:t>§ 4. Le Roi peut fixer d'autres modalités de contrôle et d'inspection, afin de satisfaire aux obligations résultant des traités internationaux et des actes internationaux pris en vertu de ceux-ci.</w:t>
            </w:r>
          </w:p>
        </w:tc>
      </w:tr>
      <w:tr w:rsidR="00416BD8" w:rsidRPr="00A15E74" w14:paraId="57B7F3F0" w14:textId="77777777" w:rsidTr="003B1CCA">
        <w:tc>
          <w:tcPr>
            <w:tcW w:w="4822" w:type="dxa"/>
          </w:tcPr>
          <w:p w14:paraId="7DBB40BE" w14:textId="17617FCC" w:rsidR="00416BD8" w:rsidRPr="00447CEA" w:rsidRDefault="00416BD8" w:rsidP="00416BD8">
            <w:pPr>
              <w:jc w:val="both"/>
              <w:rPr>
                <w:rFonts w:ascii="Arial" w:eastAsia="Times New Roman" w:hAnsi="Arial" w:cs="Arial"/>
                <w:lang w:val="fr-BE" w:eastAsia="nl-BE"/>
              </w:rPr>
            </w:pPr>
            <w:r w:rsidRPr="00447CEA">
              <w:rPr>
                <w:rFonts w:ascii="Arial" w:eastAsia="Times New Roman" w:hAnsi="Arial" w:cs="Arial"/>
                <w:bCs/>
                <w:lang w:val="fr-BE" w:eastAsia="nl-BE"/>
              </w:rPr>
              <w:t>§ 5. Les dispositions du présent article ne s'appliquent pas aux contrôles effectués en application de la loi du 4 février 2000 relative à la création de l'Agence fédérale pour la Sécurité de la Chaîne alimentaire.</w:t>
            </w:r>
          </w:p>
        </w:tc>
        <w:tc>
          <w:tcPr>
            <w:tcW w:w="4824" w:type="dxa"/>
          </w:tcPr>
          <w:p w14:paraId="13AFBB7A" w14:textId="13CE6412" w:rsidR="00416BD8" w:rsidRPr="00447CEA" w:rsidRDefault="00416BD8" w:rsidP="00416BD8">
            <w:pPr>
              <w:jc w:val="both"/>
              <w:rPr>
                <w:rFonts w:ascii="Arial" w:hAnsi="Arial" w:cs="Arial"/>
                <w:lang w:val="fr-BE"/>
              </w:rPr>
            </w:pPr>
            <w:r w:rsidRPr="00447CEA">
              <w:rPr>
                <w:rFonts w:ascii="Arial" w:eastAsia="Times New Roman" w:hAnsi="Arial" w:cs="Arial"/>
                <w:bCs/>
                <w:lang w:val="fr-BE" w:eastAsia="nl-BE"/>
              </w:rPr>
              <w:t>§ 5. Les dispositions du présent article ne s'appliquent pas aux contrôles effectués en application de la loi du 4 février 2000 relative à la création de l'Agence fédérale pour la Sécurité de la Chaîne alimentaire.</w:t>
            </w:r>
          </w:p>
        </w:tc>
      </w:tr>
    </w:tbl>
    <w:p w14:paraId="66746E78" w14:textId="77777777" w:rsidR="003B1CCA" w:rsidRPr="00447CEA" w:rsidRDefault="003B1CCA">
      <w:pPr>
        <w:rPr>
          <w:rFonts w:ascii="Arial" w:hAnsi="Arial" w:cs="Arial"/>
          <w:lang w:val="fr-BE"/>
        </w:rPr>
      </w:pPr>
    </w:p>
    <w:sectPr w:rsidR="003B1CCA" w:rsidRPr="00447CEA">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175C0" w14:textId="77777777" w:rsidR="00A15E74" w:rsidRDefault="00A15E74" w:rsidP="00A15E74">
      <w:pPr>
        <w:spacing w:after="0" w:line="240" w:lineRule="auto"/>
      </w:pPr>
      <w:r>
        <w:separator/>
      </w:r>
    </w:p>
  </w:endnote>
  <w:endnote w:type="continuationSeparator" w:id="0">
    <w:p w14:paraId="5F2A0BF8" w14:textId="77777777" w:rsidR="00A15E74" w:rsidRDefault="00A15E74" w:rsidP="00A15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96C65" w14:textId="77777777" w:rsidR="00A15E74" w:rsidRDefault="00A15E74" w:rsidP="00A15E74">
      <w:pPr>
        <w:spacing w:after="0" w:line="240" w:lineRule="auto"/>
      </w:pPr>
      <w:r>
        <w:separator/>
      </w:r>
    </w:p>
  </w:footnote>
  <w:footnote w:type="continuationSeparator" w:id="0">
    <w:p w14:paraId="2379ED06" w14:textId="77777777" w:rsidR="00A15E74" w:rsidRDefault="00A15E74" w:rsidP="00A15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98F1" w14:textId="3BE686F0" w:rsidR="00A15E74" w:rsidRPr="00A15E74" w:rsidRDefault="00A15E74">
    <w:pPr>
      <w:pStyle w:val="Header"/>
      <w:rPr>
        <w:lang w:val="fr-BE"/>
      </w:rPr>
    </w:pPr>
    <w:r>
      <w:rPr>
        <w:lang w:val="fr-BE"/>
      </w:rPr>
      <w:tab/>
    </w:r>
    <w:r>
      <w:rPr>
        <w:lang w:val="fr-BE"/>
      </w:rPr>
      <w:tab/>
      <w:t>7/05/2021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4B6"/>
    <w:rsid w:val="0004286A"/>
    <w:rsid w:val="0005701E"/>
    <w:rsid w:val="00081367"/>
    <w:rsid w:val="00082258"/>
    <w:rsid w:val="00094BD0"/>
    <w:rsid w:val="000B40A2"/>
    <w:rsid w:val="000D2680"/>
    <w:rsid w:val="00135924"/>
    <w:rsid w:val="00143B3C"/>
    <w:rsid w:val="001705E5"/>
    <w:rsid w:val="0018120D"/>
    <w:rsid w:val="001D5029"/>
    <w:rsid w:val="00201CBC"/>
    <w:rsid w:val="0021278F"/>
    <w:rsid w:val="00246F1E"/>
    <w:rsid w:val="00275489"/>
    <w:rsid w:val="002B0853"/>
    <w:rsid w:val="002C19A4"/>
    <w:rsid w:val="002C4E31"/>
    <w:rsid w:val="002F2413"/>
    <w:rsid w:val="002F7AF0"/>
    <w:rsid w:val="00307E7A"/>
    <w:rsid w:val="003357AE"/>
    <w:rsid w:val="0035695F"/>
    <w:rsid w:val="003639A3"/>
    <w:rsid w:val="00371C76"/>
    <w:rsid w:val="003747EC"/>
    <w:rsid w:val="003940DC"/>
    <w:rsid w:val="003A7E67"/>
    <w:rsid w:val="003B1CCA"/>
    <w:rsid w:val="003B50C8"/>
    <w:rsid w:val="00414558"/>
    <w:rsid w:val="00416BD8"/>
    <w:rsid w:val="00435E05"/>
    <w:rsid w:val="00447CEA"/>
    <w:rsid w:val="00496C79"/>
    <w:rsid w:val="00507C86"/>
    <w:rsid w:val="00525102"/>
    <w:rsid w:val="0053704D"/>
    <w:rsid w:val="00556D3E"/>
    <w:rsid w:val="005D2ED2"/>
    <w:rsid w:val="00650261"/>
    <w:rsid w:val="007014B6"/>
    <w:rsid w:val="007263DC"/>
    <w:rsid w:val="00734055"/>
    <w:rsid w:val="00734F00"/>
    <w:rsid w:val="00743D32"/>
    <w:rsid w:val="007D32D8"/>
    <w:rsid w:val="007E0DA6"/>
    <w:rsid w:val="007E25B9"/>
    <w:rsid w:val="007E3E75"/>
    <w:rsid w:val="0081305E"/>
    <w:rsid w:val="00871FDC"/>
    <w:rsid w:val="008B58AD"/>
    <w:rsid w:val="008B6AD8"/>
    <w:rsid w:val="008E2828"/>
    <w:rsid w:val="008E3E3E"/>
    <w:rsid w:val="009403CD"/>
    <w:rsid w:val="00952D4E"/>
    <w:rsid w:val="009B423C"/>
    <w:rsid w:val="009D1447"/>
    <w:rsid w:val="009D2716"/>
    <w:rsid w:val="00A058E3"/>
    <w:rsid w:val="00A10E85"/>
    <w:rsid w:val="00A15E74"/>
    <w:rsid w:val="00A20457"/>
    <w:rsid w:val="00A43096"/>
    <w:rsid w:val="00A46483"/>
    <w:rsid w:val="00A73581"/>
    <w:rsid w:val="00AD108A"/>
    <w:rsid w:val="00AE355B"/>
    <w:rsid w:val="00AE5833"/>
    <w:rsid w:val="00AE76CF"/>
    <w:rsid w:val="00B46CCA"/>
    <w:rsid w:val="00B91A58"/>
    <w:rsid w:val="00BC4D24"/>
    <w:rsid w:val="00BF17DE"/>
    <w:rsid w:val="00C00985"/>
    <w:rsid w:val="00C37881"/>
    <w:rsid w:val="00C65901"/>
    <w:rsid w:val="00C75B02"/>
    <w:rsid w:val="00CC6F93"/>
    <w:rsid w:val="00CC7346"/>
    <w:rsid w:val="00CE520B"/>
    <w:rsid w:val="00D354F9"/>
    <w:rsid w:val="00D60D4B"/>
    <w:rsid w:val="00D93EA2"/>
    <w:rsid w:val="00DB05FC"/>
    <w:rsid w:val="00DB4CB3"/>
    <w:rsid w:val="00DB7906"/>
    <w:rsid w:val="00E05629"/>
    <w:rsid w:val="00E20931"/>
    <w:rsid w:val="00E5145D"/>
    <w:rsid w:val="00E730DB"/>
    <w:rsid w:val="00EA6E10"/>
    <w:rsid w:val="00EE4D65"/>
    <w:rsid w:val="00EF27D3"/>
    <w:rsid w:val="00EF6CD7"/>
    <w:rsid w:val="00EF7B53"/>
    <w:rsid w:val="00F039EB"/>
    <w:rsid w:val="00F306D4"/>
    <w:rsid w:val="00F6346C"/>
    <w:rsid w:val="00FC22EB"/>
    <w:rsid w:val="00FE4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E0895"/>
  <w15:chartTrackingRefBased/>
  <w15:docId w15:val="{053971A0-D00C-4707-BCF9-60D7FEAF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6BD8"/>
    <w:rPr>
      <w:color w:val="0563C1" w:themeColor="hyperlink"/>
      <w:u w:val="single"/>
    </w:rPr>
  </w:style>
  <w:style w:type="character" w:styleId="UnresolvedMention">
    <w:name w:val="Unresolved Mention"/>
    <w:basedOn w:val="DefaultParagraphFont"/>
    <w:uiPriority w:val="99"/>
    <w:semiHidden/>
    <w:unhideWhenUsed/>
    <w:rsid w:val="00416BD8"/>
    <w:rPr>
      <w:color w:val="605E5C"/>
      <w:shd w:val="clear" w:color="auto" w:fill="E1DFDD"/>
    </w:rPr>
  </w:style>
  <w:style w:type="paragraph" w:styleId="Header">
    <w:name w:val="header"/>
    <w:basedOn w:val="Normal"/>
    <w:link w:val="HeaderChar"/>
    <w:uiPriority w:val="99"/>
    <w:unhideWhenUsed/>
    <w:rsid w:val="00A15E74"/>
    <w:pPr>
      <w:tabs>
        <w:tab w:val="center" w:pos="4703"/>
        <w:tab w:val="right" w:pos="9406"/>
      </w:tabs>
      <w:spacing w:after="0" w:line="240" w:lineRule="auto"/>
    </w:pPr>
  </w:style>
  <w:style w:type="character" w:customStyle="1" w:styleId="HeaderChar">
    <w:name w:val="Header Char"/>
    <w:basedOn w:val="DefaultParagraphFont"/>
    <w:link w:val="Header"/>
    <w:uiPriority w:val="99"/>
    <w:rsid w:val="00A15E74"/>
  </w:style>
  <w:style w:type="paragraph" w:styleId="Footer">
    <w:name w:val="footer"/>
    <w:basedOn w:val="Normal"/>
    <w:link w:val="FooterChar"/>
    <w:uiPriority w:val="99"/>
    <w:unhideWhenUsed/>
    <w:rsid w:val="00A15E74"/>
    <w:pPr>
      <w:tabs>
        <w:tab w:val="center" w:pos="4703"/>
        <w:tab w:val="right" w:pos="9406"/>
      </w:tabs>
      <w:spacing w:after="0" w:line="240" w:lineRule="auto"/>
    </w:pPr>
  </w:style>
  <w:style w:type="character" w:customStyle="1" w:styleId="FooterChar">
    <w:name w:val="Footer Char"/>
    <w:basedOn w:val="DefaultParagraphFont"/>
    <w:link w:val="Footer"/>
    <w:uiPriority w:val="99"/>
    <w:rsid w:val="00A15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941b080a0d64219c61c483932755567f">
  <xsd:schema xmlns:xsd="http://www.w3.org/2001/XMLSchema" xmlns:xs="http://www.w3.org/2001/XMLSchema" xmlns:p="http://schemas.microsoft.com/office/2006/metadata/properties" xmlns:ns2="2b4b6fc7-bde4-44a8-8bca-a78eb25a27e9" targetNamespace="http://schemas.microsoft.com/office/2006/metadata/properties" ma:root="true" ma:fieldsID="cb3f6be10dd87ed603eec3f1c19b2862"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bfcb1f17d5f4555baa428617776f0c1 xmlns="2b4b6fc7-bde4-44a8-8bca-a78eb25a27e9">
      <Terms xmlns="http://schemas.microsoft.com/office/infopath/2007/PartnerControls"/>
    </abfcb1f17d5f4555baa428617776f0c1>
    <Dossier_x0020_Number xmlns="2b4b6fc7-bde4-44a8-8bca-a78eb25a27e9">2020-001255</Dossier_x0020_Number>
    <_dlc_DocId xmlns="2b4b6fc7-bde4-44a8-8bca-a78eb25a27e9">DS20-1372834777-1052</_dlc_DocId>
    <o3cf37d2a5d34fd7955003a053893e5e xmlns="2b4b6fc7-bde4-44a8-8bca-a78eb25a27e9">
      <Terms xmlns="http://schemas.microsoft.com/office/infopath/2007/PartnerControls"/>
    </o3cf37d2a5d34fd7955003a053893e5e>
    <_dlc_DocIdUrl xmlns="2b4b6fc7-bde4-44a8-8bca-a78eb25a27e9">
      <Url>http://teamworkingspace.bipt.local/sites/dossiers2020/12/2020001255/_layouts/DocIdRedir.aspx?ID=DS20-1372834777-1052</Url>
      <Description>DS20-1372834777-1052</Description>
    </_dlc_DocIdUrl>
    <TaxCatchAll xmlns="2b4b6fc7-bde4-44a8-8bca-a78eb25a27e9">
      <Value>27</Value>
    </TaxCatchAll>
    <QuickPartDocumentId xmlns="2b4b6fc7-bde4-44a8-8bca-a78eb25a27e9">DS20-1372834777-1052</QuickPartDocumentId>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Version_x0020_Published_x0020_To_x0020_Library xmlns="2b4b6fc7-bde4-44a8-8bca-a78eb25a27e9" xsi:nil="true"/>
    <Master_x0020_Id xmlns="2b4b6fc7-bde4-44a8-8bca-a78eb25a27e9" xsi:nil="true"/>
    <Version_x0020_Published_x0020_to_x0020_Internet xmlns="2b4b6fc7-bde4-44a8-8bca-a78eb25a27e9" xsi:nil="true"/>
    <History_x0020_of_x0020_Remarks xmlns="2b4b6fc7-bde4-44a8-8bca-a78eb25a27e9" xsi:nil="true"/>
    <Administrative xmlns="2b4b6fc7-bde4-44a8-8bca-a78eb25a27e9">false</Administrative>
    <Confidential1 xmlns="2b4b6fc7-bde4-44a8-8bca-a78eb25a27e9">false</Confidential1>
  </documentManagement>
</p:properties>
</file>

<file path=customXml/itemProps1.xml><?xml version="1.0" encoding="utf-8"?>
<ds:datastoreItem xmlns:ds="http://schemas.openxmlformats.org/officeDocument/2006/customXml" ds:itemID="{7579AB1A-5EF9-480D-A63C-C5B1DA421BE4}"/>
</file>

<file path=customXml/itemProps2.xml><?xml version="1.0" encoding="utf-8"?>
<ds:datastoreItem xmlns:ds="http://schemas.openxmlformats.org/officeDocument/2006/customXml" ds:itemID="{956DBC76-9A70-4256-A9E7-D09F8084D466}"/>
</file>

<file path=customXml/itemProps3.xml><?xml version="1.0" encoding="utf-8"?>
<ds:datastoreItem xmlns:ds="http://schemas.openxmlformats.org/officeDocument/2006/customXml" ds:itemID="{05896491-566C-47E2-AE1D-B9800D6B157C}"/>
</file>

<file path=customXml/itemProps4.xml><?xml version="1.0" encoding="utf-8"?>
<ds:datastoreItem xmlns:ds="http://schemas.openxmlformats.org/officeDocument/2006/customXml" ds:itemID="{20A14C00-BA59-47CC-B159-945FD1841401}"/>
</file>

<file path=customXml/itemProps5.xml><?xml version="1.0" encoding="utf-8"?>
<ds:datastoreItem xmlns:ds="http://schemas.openxmlformats.org/officeDocument/2006/customXml" ds:itemID="{E9E3331E-51DA-4462-84C2-65BA82A9307B}"/>
</file>

<file path=docProps/app.xml><?xml version="1.0" encoding="utf-8"?>
<Properties xmlns="http://schemas.openxmlformats.org/officeDocument/2006/extended-properties" xmlns:vt="http://schemas.openxmlformats.org/officeDocument/2006/docPropsVTypes">
  <Template>Normal</Template>
  <TotalTime>3</TotalTime>
  <Pages>4</Pages>
  <Words>1474</Words>
  <Characters>8405</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health.fgov.be</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Roose Emeline</dc:creator>
  <cp:keywords/>
  <dc:description/>
  <cp:lastModifiedBy>Dethy Pierre-Yves</cp:lastModifiedBy>
  <cp:revision>6</cp:revision>
  <dcterms:created xsi:type="dcterms:W3CDTF">2021-05-06T17:52:00Z</dcterms:created>
  <dcterms:modified xsi:type="dcterms:W3CDTF">2021-05-07T05:57:00Z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5514218fd064764993fc7f005d66e34">
    <vt:lpwstr/>
  </property>
  <property fmtid="{D5CDD505-2E9C-101B-9397-08002B2CF9AE}" pid="3" name="nd8a4f3b4df3473d8008d70ef4499b5e">
    <vt:lpwstr/>
  </property>
  <property fmtid="{D5CDD505-2E9C-101B-9397-08002B2CF9AE}" pid="4" name="Medium Type">
    <vt:lpwstr/>
  </property>
  <property fmtid="{D5CDD505-2E9C-101B-9397-08002B2CF9AE}" pid="5" name="ContentTypeId">
    <vt:lpwstr>0x0101004FA21861B553C741A1AA3F2E5831C1CC0507009B219235E488424E858FD5EE5506841D</vt:lpwstr>
  </property>
  <property fmtid="{D5CDD505-2E9C-101B-9397-08002B2CF9AE}" pid="6" name="Service1">
    <vt:lpwstr>27;#Legal Department|dd78c772-9794-4686-a245-4df1b644d6ba</vt:lpwstr>
  </property>
  <property fmtid="{D5CDD505-2E9C-101B-9397-08002B2CF9AE}" pid="7" name="Languages">
    <vt:lpwstr/>
  </property>
  <property fmtid="{D5CDD505-2E9C-101B-9397-08002B2CF9AE}" pid="8" name="Document Type">
    <vt:lpwstr/>
  </property>
  <property fmtid="{D5CDD505-2E9C-101B-9397-08002B2CF9AE}" pid="9" name="Answer or Initiative">
    <vt:lpwstr/>
  </property>
  <property fmtid="{D5CDD505-2E9C-101B-9397-08002B2CF9AE}" pid="10" name="_dlc_DocIdItemGuid">
    <vt:lpwstr>a56f7b6c-b3bd-4603-bb90-782f8f514f94</vt:lpwstr>
  </property>
</Properties>
</file>