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073F" w14:textId="69549081" w:rsidR="00843C03" w:rsidRDefault="00DE38E0" w:rsidP="00843C03">
      <w:pPr>
        <w:pStyle w:val="Title"/>
      </w:pPr>
      <w:bookmarkStart w:id="0" w:name="_Hlk123652548"/>
      <w:r>
        <w:t>L</w:t>
      </w:r>
      <w:r w:rsidR="0060217F">
        <w:t xml:space="preserve">ettre adressée à l’IBPT </w:t>
      </w:r>
      <w:r>
        <w:t>(explications)</w:t>
      </w:r>
    </w:p>
    <w:bookmarkEnd w:id="0"/>
    <w:p w14:paraId="707EEC91" w14:textId="77777777" w:rsidR="007046FE" w:rsidRDefault="007046FE" w:rsidP="007046FE">
      <w:pPr>
        <w:pStyle w:val="NoSpacing"/>
      </w:pPr>
    </w:p>
    <w:p w14:paraId="04AE59C1" w14:textId="2534AF0F" w:rsidR="00E90585" w:rsidRDefault="007046FE" w:rsidP="00E90585">
      <w:pPr>
        <w:rPr>
          <w:color w:val="000000"/>
          <w:szCs w:val="20"/>
        </w:rPr>
      </w:pPr>
      <w:r w:rsidRPr="00E90585">
        <w:rPr>
          <w:szCs w:val="20"/>
        </w:rPr>
        <w:t xml:space="preserve">La lettre par laquelle l’autorisation </w:t>
      </w:r>
      <w:r w:rsidR="00E90585" w:rsidRPr="00E90585">
        <w:rPr>
          <w:szCs w:val="20"/>
        </w:rPr>
        <w:t xml:space="preserve">ministérielle </w:t>
      </w:r>
      <w:r w:rsidRPr="00E90585">
        <w:rPr>
          <w:szCs w:val="20"/>
        </w:rPr>
        <w:t xml:space="preserve">est demandée doit être adressée au Président de l’IBPT. </w:t>
      </w:r>
      <w:r w:rsidR="00E90585" w:rsidRPr="00561AD4">
        <w:rPr>
          <w:szCs w:val="20"/>
        </w:rPr>
        <w:t>En effet, l’article 105, § 3, alinéa 1</w:t>
      </w:r>
      <w:r w:rsidR="00E90585" w:rsidRPr="00561AD4">
        <w:rPr>
          <w:szCs w:val="20"/>
          <w:vertAlign w:val="superscript"/>
        </w:rPr>
        <w:t>er</w:t>
      </w:r>
      <w:r w:rsidR="00E90585" w:rsidRPr="00561AD4">
        <w:rPr>
          <w:szCs w:val="20"/>
        </w:rPr>
        <w:t>, de la loi du 13 juin 2005 relative aux communications électroniques prévoit ce qui suit : « </w:t>
      </w:r>
      <w:r w:rsidR="00E90585" w:rsidRPr="00561AD4">
        <w:rPr>
          <w:i/>
          <w:iCs/>
          <w:color w:val="000000"/>
          <w:szCs w:val="20"/>
        </w:rPr>
        <w:t>§ 3. Le demandeur introduit son dossier auprès de l'Institut, selon les modalités qu'il fixe sur son site internet.</w:t>
      </w:r>
      <w:r w:rsidR="00E90585" w:rsidRPr="00561AD4">
        <w:rPr>
          <w:color w:val="000000"/>
          <w:szCs w:val="20"/>
        </w:rPr>
        <w:t> »  </w:t>
      </w:r>
    </w:p>
    <w:p w14:paraId="712CA23F" w14:textId="77777777" w:rsidR="00474C64" w:rsidRPr="00E90585" w:rsidRDefault="00474C64" w:rsidP="00E90585">
      <w:pPr>
        <w:rPr>
          <w:rStyle w:val="IntenseReference"/>
          <w:szCs w:val="20"/>
        </w:rPr>
      </w:pPr>
    </w:p>
    <w:p w14:paraId="766323CA" w14:textId="7000AC56" w:rsidR="00E90585" w:rsidRDefault="00247EF4" w:rsidP="007046FE">
      <w:r>
        <w:t xml:space="preserve">Vu que </w:t>
      </w:r>
      <w:r w:rsidR="00E90585">
        <w:t xml:space="preserve">l’IBPT ne transmettra </w:t>
      </w:r>
      <w:r w:rsidR="008B68AB">
        <w:t xml:space="preserve">aux cabinets ministériels </w:t>
      </w:r>
      <w:r w:rsidR="00561AD4">
        <w:t xml:space="preserve">concernés </w:t>
      </w:r>
      <w:r w:rsidR="00E90585">
        <w:t xml:space="preserve">que </w:t>
      </w:r>
      <w:r w:rsidR="008B68AB">
        <w:t>le courriel du demandeur</w:t>
      </w:r>
      <w:r w:rsidR="00561AD4">
        <w:t xml:space="preserve"> par lequel l’autorisation est demandée</w:t>
      </w:r>
      <w:r w:rsidR="008B68AB">
        <w:t xml:space="preserve">, </w:t>
      </w:r>
      <w:r w:rsidR="00DB720C">
        <w:t xml:space="preserve">la </w:t>
      </w:r>
      <w:r w:rsidR="00E90585">
        <w:t xml:space="preserve">lettre </w:t>
      </w:r>
      <w:r w:rsidR="00DB720C">
        <w:t xml:space="preserve">susmentionnée </w:t>
      </w:r>
      <w:r w:rsidR="00E90585">
        <w:t xml:space="preserve">et l’inventaire des </w:t>
      </w:r>
      <w:r w:rsidR="00561AD4">
        <w:t>annexes à cette lettre</w:t>
      </w:r>
      <w:r w:rsidR="00A04DA8">
        <w:rPr>
          <w:rStyle w:val="FootnoteReference"/>
        </w:rPr>
        <w:footnoteReference w:id="1"/>
      </w:r>
      <w:r w:rsidR="00E90585">
        <w:t>, il est recommandé que cette lettre r</w:t>
      </w:r>
      <w:r>
        <w:t>epren</w:t>
      </w:r>
      <w:r w:rsidR="00E90585">
        <w:t>ne</w:t>
      </w:r>
      <w:r>
        <w:t xml:space="preserve"> les éléments essentiels de la demande</w:t>
      </w:r>
      <w:r w:rsidR="005C1342">
        <w:t xml:space="preserve">, </w:t>
      </w:r>
      <w:r w:rsidR="00E90585">
        <w:t xml:space="preserve">à savoir : </w:t>
      </w:r>
    </w:p>
    <w:p w14:paraId="2651290E" w14:textId="77777777" w:rsidR="00E90585" w:rsidRDefault="00E90585" w:rsidP="007046FE"/>
    <w:p w14:paraId="5C90A362" w14:textId="7EE90022" w:rsidR="00E90585" w:rsidRDefault="00DB720C" w:rsidP="00E90585">
      <w:pPr>
        <w:pStyle w:val="ListParagraph"/>
        <w:numPr>
          <w:ilvl w:val="0"/>
          <w:numId w:val="24"/>
        </w:numPr>
      </w:pPr>
      <w:r>
        <w:t>L’identité du demandeur</w:t>
      </w:r>
      <w:r w:rsidR="00E90585">
        <w:t xml:space="preserve"> ; </w:t>
      </w:r>
    </w:p>
    <w:p w14:paraId="33D8C251" w14:textId="64156724" w:rsidR="00E90585" w:rsidRDefault="00E90585" w:rsidP="00E90585">
      <w:pPr>
        <w:pStyle w:val="ListParagraph"/>
        <w:numPr>
          <w:ilvl w:val="0"/>
          <w:numId w:val="24"/>
        </w:numPr>
      </w:pPr>
      <w:r>
        <w:t xml:space="preserve">Une description générale des élements sur lesquels porte la demande ; </w:t>
      </w:r>
    </w:p>
    <w:p w14:paraId="17F51D38" w14:textId="3291BD90" w:rsidR="00E90585" w:rsidRDefault="00E90585" w:rsidP="00E90585">
      <w:pPr>
        <w:pStyle w:val="ListParagraph"/>
        <w:numPr>
          <w:ilvl w:val="0"/>
          <w:numId w:val="24"/>
        </w:numPr>
      </w:pPr>
      <w:r>
        <w:t xml:space="preserve">S’il s’agit d’une demande d’autorisation préalable ou d’une demande de régularisation ; </w:t>
      </w:r>
    </w:p>
    <w:p w14:paraId="3A8F0A10" w14:textId="5325A0ED" w:rsidR="00E90585" w:rsidRDefault="00E90585" w:rsidP="00561AD4">
      <w:pPr>
        <w:pStyle w:val="ListParagraph"/>
        <w:numPr>
          <w:ilvl w:val="0"/>
          <w:numId w:val="24"/>
        </w:numPr>
      </w:pPr>
      <w:r>
        <w:t xml:space="preserve">Si la demande apporte des modifications par rapport à une demande précédente, </w:t>
      </w:r>
      <w:r w:rsidR="00A04DA8">
        <w:t xml:space="preserve">la lettre fera une courte description de l’objet de la demande </w:t>
      </w:r>
      <w:r w:rsidR="00474C64">
        <w:t>initiale</w:t>
      </w:r>
      <w:r w:rsidR="00A04DA8">
        <w:t xml:space="preserve"> et reprendra le numéro de référence de l’IBPT pour la demande initiale (ce numéro se trouve dans l’accusé de réception envoyé </w:t>
      </w:r>
      <w:r w:rsidR="00561AD4">
        <w:t xml:space="preserve">par </w:t>
      </w:r>
      <w:r w:rsidR="00A04DA8">
        <w:t>l’IBPT à la suite de l’introduction du dossier</w:t>
      </w:r>
      <w:r w:rsidR="00474C64">
        <w:t>)</w:t>
      </w:r>
      <w:r w:rsidR="00A04DA8">
        <w:t xml:space="preserve">. </w:t>
      </w:r>
    </w:p>
    <w:p w14:paraId="09C42AE5" w14:textId="75D9A460" w:rsidR="001D06C9" w:rsidRDefault="001D06C9" w:rsidP="00891123"/>
    <w:p w14:paraId="30166B31" w14:textId="548D1361" w:rsidR="00A04DA8" w:rsidRDefault="00247EF4" w:rsidP="00220E13">
      <w:r>
        <w:t xml:space="preserve">La lettre </w:t>
      </w:r>
      <w:r w:rsidR="008B68AB">
        <w:t xml:space="preserve">adressée à l’IBPT </w:t>
      </w:r>
      <w:r>
        <w:t>p</w:t>
      </w:r>
      <w:r w:rsidR="001C26DA">
        <w:t>eut</w:t>
      </w:r>
      <w:r>
        <w:t xml:space="preserve"> par exemple reprendre la formulation suivante : </w:t>
      </w:r>
    </w:p>
    <w:p w14:paraId="12626197" w14:textId="77777777" w:rsidR="00A04DA8" w:rsidRDefault="00A04DA8" w:rsidP="00220E13"/>
    <w:p w14:paraId="45EBF587" w14:textId="7B2D3620" w:rsidR="00A04DA8" w:rsidRPr="00561AD4" w:rsidRDefault="00247EF4" w:rsidP="00474C64">
      <w:pPr>
        <w:ind w:left="720"/>
      </w:pPr>
      <w:r>
        <w:t>« </w:t>
      </w:r>
      <w:r w:rsidR="00D10293">
        <w:t>Conformément à l’article 105, § 1</w:t>
      </w:r>
      <w:r w:rsidR="00D10293" w:rsidRPr="00D10293">
        <w:rPr>
          <w:vertAlign w:val="superscript"/>
        </w:rPr>
        <w:t>er</w:t>
      </w:r>
      <w:r w:rsidR="00D10293">
        <w:t xml:space="preserve">, de la loi du 13 juin 2005 relative aux communications électroniques, </w:t>
      </w:r>
      <w:r w:rsidR="001C26DA">
        <w:t xml:space="preserve">[dénomination sociale de </w:t>
      </w:r>
      <w:r w:rsidR="00D10293">
        <w:t>l</w:t>
      </w:r>
      <w:r>
        <w:t>a société</w:t>
      </w:r>
      <w:r w:rsidR="001C26DA">
        <w:t>]</w:t>
      </w:r>
      <w:r>
        <w:t>, ayant son siège social à [adresse]</w:t>
      </w:r>
      <w:r w:rsidR="001C26DA">
        <w:rPr>
          <w:rStyle w:val="FootnoteReference"/>
        </w:rPr>
        <w:footnoteReference w:id="2"/>
      </w:r>
      <w:r>
        <w:t>,</w:t>
      </w:r>
      <w:r w:rsidR="00D10293">
        <w:t xml:space="preserve"> </w:t>
      </w:r>
      <w:r w:rsidR="00A04DA8">
        <w:t>invite</w:t>
      </w:r>
      <w:r w:rsidR="00873FFC">
        <w:t xml:space="preserve"> l’IBPT </w:t>
      </w:r>
      <w:r w:rsidR="008B68AB">
        <w:t>à</w:t>
      </w:r>
      <w:r w:rsidR="00873FFC">
        <w:t xml:space="preserve"> transmettre </w:t>
      </w:r>
      <w:r w:rsidR="00D10293">
        <w:t xml:space="preserve">aux ministres visés au même article </w:t>
      </w:r>
      <w:r w:rsidR="00873FFC">
        <w:t xml:space="preserve">sa demande </w:t>
      </w:r>
      <w:r w:rsidR="00D10293">
        <w:t xml:space="preserve">de lui accorder une </w:t>
      </w:r>
      <w:r>
        <w:t>[</w:t>
      </w:r>
      <w:r w:rsidR="00D10293" w:rsidRPr="00561AD4">
        <w:t xml:space="preserve">autorisation </w:t>
      </w:r>
      <w:r w:rsidR="005F2DCC" w:rsidRPr="00561AD4">
        <w:t xml:space="preserve">préalable </w:t>
      </w:r>
      <w:r w:rsidR="00220E13" w:rsidRPr="00561AD4">
        <w:t xml:space="preserve">– </w:t>
      </w:r>
      <w:r w:rsidR="005F2DCC" w:rsidRPr="00561AD4">
        <w:t xml:space="preserve">autorisation de </w:t>
      </w:r>
      <w:r w:rsidR="00220E13" w:rsidRPr="00561AD4">
        <w:t>régularisa</w:t>
      </w:r>
      <w:r w:rsidRPr="00561AD4">
        <w:t>tion]</w:t>
      </w:r>
      <w:r w:rsidR="00D10293" w:rsidRPr="00561AD4">
        <w:t xml:space="preserve"> pour les éléments </w:t>
      </w:r>
      <w:r w:rsidR="003D0293" w:rsidRPr="00561AD4">
        <w:t xml:space="preserve">suivants, qui sont plus amplement décris </w:t>
      </w:r>
      <w:r w:rsidR="007225DB" w:rsidRPr="00561AD4">
        <w:t xml:space="preserve">dans les fiches </w:t>
      </w:r>
      <w:r w:rsidR="001C26DA" w:rsidRPr="00561AD4">
        <w:t>e</w:t>
      </w:r>
      <w:r w:rsidR="00D10293" w:rsidRPr="00561AD4">
        <w:t>n annexe</w:t>
      </w:r>
      <w:r w:rsidR="003D0293" w:rsidRPr="00561AD4">
        <w:t> : [</w:t>
      </w:r>
      <w:r w:rsidR="001C26DA" w:rsidRPr="00561AD4">
        <w:t>description générale des éléments sur lequel la demande porte</w:t>
      </w:r>
      <w:r w:rsidR="003D0293" w:rsidRPr="00561AD4">
        <w:t>].</w:t>
      </w:r>
      <w:r w:rsidRPr="00561AD4">
        <w:t> </w:t>
      </w:r>
    </w:p>
    <w:p w14:paraId="3B394D24" w14:textId="6D4AEC3E" w:rsidR="00A04DA8" w:rsidRPr="00561AD4" w:rsidRDefault="00A04DA8" w:rsidP="00474C64">
      <w:pPr>
        <w:ind w:left="720"/>
      </w:pPr>
    </w:p>
    <w:p w14:paraId="6E55EAA0" w14:textId="20789E6A" w:rsidR="00A04DA8" w:rsidRPr="00561AD4" w:rsidRDefault="00561AD4" w:rsidP="00474C64">
      <w:pPr>
        <w:ind w:left="720"/>
      </w:pPr>
      <w:r w:rsidRPr="00561AD4">
        <w:t xml:space="preserve">[Si applicable] </w:t>
      </w:r>
      <w:r w:rsidR="00A04DA8" w:rsidRPr="00561AD4">
        <w:t xml:space="preserve">La présente demande apporte des modifications par rapport à la demande du XX/XX/XXXX portant les références </w:t>
      </w:r>
      <w:r w:rsidR="00474C64" w:rsidRPr="00561AD4">
        <w:t>de l’IBPT [</w:t>
      </w:r>
      <w:r w:rsidR="00A04DA8" w:rsidRPr="00561AD4">
        <w:t>XYZ</w:t>
      </w:r>
      <w:r w:rsidR="00474C64" w:rsidRPr="00561AD4">
        <w:t>]</w:t>
      </w:r>
      <w:r w:rsidR="00A04DA8" w:rsidRPr="00561AD4">
        <w:t xml:space="preserve"> et ayant pour objet : [à compléter].</w:t>
      </w:r>
    </w:p>
    <w:p w14:paraId="0269D0AE" w14:textId="7B7F483C" w:rsidR="00A04DA8" w:rsidRPr="00561AD4" w:rsidRDefault="00A04DA8" w:rsidP="00474C64">
      <w:pPr>
        <w:ind w:left="720"/>
      </w:pPr>
    </w:p>
    <w:p w14:paraId="5D031583" w14:textId="77777777" w:rsidR="00A04DA8" w:rsidRPr="00561AD4" w:rsidRDefault="00A04DA8" w:rsidP="00474C64">
      <w:pPr>
        <w:ind w:left="720"/>
      </w:pPr>
    </w:p>
    <w:p w14:paraId="54F4D7BE" w14:textId="4BB72212" w:rsidR="00A04DA8" w:rsidRPr="00561AD4" w:rsidRDefault="00A04DA8" w:rsidP="00474C64">
      <w:pPr>
        <w:ind w:left="720"/>
      </w:pPr>
      <w:r w:rsidRPr="00561AD4">
        <w:t xml:space="preserve">Signature  </w:t>
      </w:r>
    </w:p>
    <w:p w14:paraId="3D8CEE85" w14:textId="77777777" w:rsidR="00A04DA8" w:rsidRPr="00561AD4" w:rsidRDefault="00A04DA8" w:rsidP="00474C64">
      <w:pPr>
        <w:ind w:left="720"/>
      </w:pPr>
    </w:p>
    <w:p w14:paraId="42864556" w14:textId="16E7E7D4" w:rsidR="00A04DA8" w:rsidRPr="00561AD4" w:rsidRDefault="00A04DA8" w:rsidP="00474C64">
      <w:pPr>
        <w:ind w:left="720"/>
      </w:pPr>
      <w:r w:rsidRPr="00561AD4">
        <w:t xml:space="preserve">Annexes : </w:t>
      </w:r>
    </w:p>
    <w:p w14:paraId="59B5607E" w14:textId="659C7DCA" w:rsidR="00A04DA8" w:rsidRPr="00561AD4" w:rsidRDefault="00A04DA8" w:rsidP="00474C64">
      <w:pPr>
        <w:pStyle w:val="ListParagraph"/>
        <w:numPr>
          <w:ilvl w:val="0"/>
          <w:numId w:val="25"/>
        </w:numPr>
        <w:ind w:left="1440"/>
      </w:pPr>
      <w:r w:rsidRPr="00561AD4">
        <w:t xml:space="preserve">Inventaire des </w:t>
      </w:r>
      <w:r w:rsidR="00561AD4" w:rsidRPr="00561AD4">
        <w:t xml:space="preserve">annexes </w:t>
      </w:r>
      <w:r w:rsidRPr="00561AD4">
        <w:t xml:space="preserve"> </w:t>
      </w:r>
    </w:p>
    <w:p w14:paraId="6FAC09F4" w14:textId="19EAC8BE" w:rsidR="00A04DA8" w:rsidRPr="00561AD4" w:rsidRDefault="00561AD4" w:rsidP="00474C64">
      <w:pPr>
        <w:pStyle w:val="ListParagraph"/>
        <w:numPr>
          <w:ilvl w:val="0"/>
          <w:numId w:val="25"/>
        </w:numPr>
        <w:ind w:left="1440"/>
      </w:pPr>
      <w:r w:rsidRPr="00561AD4">
        <w:t xml:space="preserve">Annexes </w:t>
      </w:r>
      <w:r w:rsidR="00A04DA8" w:rsidRPr="00561AD4">
        <w:t xml:space="preserve">(fournies par [indiquer comment les </w:t>
      </w:r>
      <w:r w:rsidRPr="00561AD4">
        <w:t xml:space="preserve">annexes </w:t>
      </w:r>
      <w:r w:rsidR="00A04DA8" w:rsidRPr="00561AD4">
        <w:t>sont fournies à l’IBPT]</w:t>
      </w:r>
      <w:r w:rsidR="00474C64" w:rsidRPr="00561AD4">
        <w:rPr>
          <w:rStyle w:val="FootnoteReference"/>
        </w:rPr>
        <w:footnoteReference w:id="3"/>
      </w:r>
      <w:r w:rsidR="00474C64" w:rsidRPr="00561AD4">
        <w:t>) »</w:t>
      </w:r>
    </w:p>
    <w:p w14:paraId="1D3968C7" w14:textId="77777777" w:rsidR="00A04DA8" w:rsidRDefault="00A04DA8" w:rsidP="00220E13"/>
    <w:p w14:paraId="39731D1B" w14:textId="624186B6" w:rsidR="00220E13" w:rsidRDefault="00220E13" w:rsidP="00220E13"/>
    <w:p w14:paraId="2697DB6F" w14:textId="54B1CE32" w:rsidR="00E77E76" w:rsidRDefault="00E77E76" w:rsidP="00220E13"/>
    <w:p w14:paraId="444024A3" w14:textId="77777777" w:rsidR="00E77E76" w:rsidRDefault="00E77E76" w:rsidP="00220E13"/>
    <w:p w14:paraId="54B920B5" w14:textId="7446F56C" w:rsidR="003D0293" w:rsidRDefault="003D0293"/>
    <w:p w14:paraId="01AB8FF7" w14:textId="41CA0CD8" w:rsidR="005F2DCC" w:rsidRPr="005F2DCC" w:rsidRDefault="005F2DCC" w:rsidP="005F2DCC">
      <w:pPr>
        <w:rPr>
          <w:lang w:val="fr-FR"/>
        </w:rPr>
      </w:pPr>
    </w:p>
    <w:sectPr w:rsidR="005F2DCC" w:rsidRPr="005F2DCC" w:rsidSect="00007984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FB3AB" w14:textId="77777777" w:rsidR="00C96447" w:rsidRDefault="00C96447" w:rsidP="00C96447">
      <w:r>
        <w:separator/>
      </w:r>
    </w:p>
  </w:endnote>
  <w:endnote w:type="continuationSeparator" w:id="0">
    <w:p w14:paraId="7B3D2A0B" w14:textId="77777777" w:rsidR="00C96447" w:rsidRDefault="00C96447" w:rsidP="00C9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5524705"/>
      <w:docPartObj>
        <w:docPartGallery w:val="Page Numbers (Bottom of Page)"/>
        <w:docPartUnique/>
      </w:docPartObj>
    </w:sdtPr>
    <w:sdtEndPr/>
    <w:sdtContent>
      <w:p w14:paraId="1742D2CF" w14:textId="2B4A1AA0" w:rsidR="00D10293" w:rsidRDefault="00D102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4DEC0B" w14:textId="77777777" w:rsidR="00D10293" w:rsidRDefault="00D10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96E9" w14:textId="77777777" w:rsidR="00C96447" w:rsidRDefault="00C96447" w:rsidP="00C96447">
      <w:r>
        <w:separator/>
      </w:r>
    </w:p>
  </w:footnote>
  <w:footnote w:type="continuationSeparator" w:id="0">
    <w:p w14:paraId="60ECB013" w14:textId="77777777" w:rsidR="00C96447" w:rsidRDefault="00C96447" w:rsidP="00C96447">
      <w:r>
        <w:continuationSeparator/>
      </w:r>
    </w:p>
  </w:footnote>
  <w:footnote w:id="1">
    <w:p w14:paraId="56944E6D" w14:textId="6D6B083B" w:rsidR="00A04DA8" w:rsidRPr="00474C64" w:rsidRDefault="00A04DA8">
      <w:pPr>
        <w:pStyle w:val="FootnoteText"/>
        <w:rPr>
          <w:sz w:val="18"/>
          <w:szCs w:val="18"/>
        </w:rPr>
      </w:pPr>
      <w:r w:rsidRPr="00474C64">
        <w:rPr>
          <w:rStyle w:val="FootnoteReference"/>
          <w:sz w:val="18"/>
          <w:szCs w:val="18"/>
        </w:rPr>
        <w:footnoteRef/>
      </w:r>
      <w:r w:rsidRPr="00474C64">
        <w:rPr>
          <w:sz w:val="18"/>
          <w:szCs w:val="18"/>
        </w:rPr>
        <w:t xml:space="preserve"> Comme expliqué dans le document 0 </w:t>
      </w:r>
      <w:r w:rsidR="00474C64" w:rsidRPr="00474C64">
        <w:rPr>
          <w:sz w:val="18"/>
          <w:szCs w:val="18"/>
        </w:rPr>
        <w:t>(</w:t>
      </w:r>
      <w:r w:rsidRPr="00474C64">
        <w:rPr>
          <w:sz w:val="18"/>
          <w:szCs w:val="18"/>
        </w:rPr>
        <w:t>introduction</w:t>
      </w:r>
      <w:r w:rsidR="00474C64" w:rsidRPr="00474C64">
        <w:rPr>
          <w:sz w:val="18"/>
          <w:szCs w:val="18"/>
        </w:rPr>
        <w:t>)</w:t>
      </w:r>
      <w:r w:rsidRPr="00474C64">
        <w:rPr>
          <w:sz w:val="18"/>
          <w:szCs w:val="18"/>
        </w:rPr>
        <w:t xml:space="preserve">, les </w:t>
      </w:r>
      <w:r w:rsidR="00561AD4">
        <w:rPr>
          <w:sz w:val="18"/>
          <w:szCs w:val="18"/>
        </w:rPr>
        <w:t xml:space="preserve">annexes à la lettre </w:t>
      </w:r>
      <w:r w:rsidRPr="00474C64">
        <w:rPr>
          <w:sz w:val="18"/>
          <w:szCs w:val="18"/>
        </w:rPr>
        <w:t>seront consultables par un cabinet ministériel</w:t>
      </w:r>
      <w:r w:rsidR="00561AD4">
        <w:rPr>
          <w:sz w:val="18"/>
          <w:szCs w:val="18"/>
        </w:rPr>
        <w:t xml:space="preserve"> concerné</w:t>
      </w:r>
      <w:r w:rsidRPr="00474C64">
        <w:rPr>
          <w:sz w:val="18"/>
          <w:szCs w:val="18"/>
        </w:rPr>
        <w:t xml:space="preserve">, sur demande adressée à l’IBPT.  </w:t>
      </w:r>
    </w:p>
  </w:footnote>
  <w:footnote w:id="2">
    <w:p w14:paraId="24993104" w14:textId="73AFC689" w:rsidR="001C26DA" w:rsidRPr="00474C64" w:rsidRDefault="001C26DA">
      <w:pPr>
        <w:pStyle w:val="FootnoteText"/>
        <w:rPr>
          <w:sz w:val="18"/>
          <w:szCs w:val="18"/>
        </w:rPr>
      </w:pPr>
      <w:r w:rsidRPr="00474C64">
        <w:rPr>
          <w:rStyle w:val="FootnoteReference"/>
          <w:sz w:val="18"/>
          <w:szCs w:val="18"/>
        </w:rPr>
        <w:footnoteRef/>
      </w:r>
      <w:r w:rsidRPr="00474C64">
        <w:rPr>
          <w:sz w:val="18"/>
          <w:szCs w:val="18"/>
        </w:rPr>
        <w:t xml:space="preserve"> Ceci n’est pas nécessaire si l’adresse est déjà apparente sur la lettre (par exemple en pied de page). </w:t>
      </w:r>
    </w:p>
  </w:footnote>
  <w:footnote w:id="3">
    <w:p w14:paraId="1DB9C849" w14:textId="7029928D" w:rsidR="00474C64" w:rsidRPr="00474C64" w:rsidRDefault="00474C64">
      <w:pPr>
        <w:pStyle w:val="FootnoteText"/>
        <w:rPr>
          <w:sz w:val="18"/>
          <w:szCs w:val="18"/>
        </w:rPr>
      </w:pPr>
      <w:r w:rsidRPr="00474C64">
        <w:rPr>
          <w:rStyle w:val="FootnoteReference"/>
          <w:sz w:val="18"/>
          <w:szCs w:val="18"/>
        </w:rPr>
        <w:footnoteRef/>
      </w:r>
      <w:r w:rsidRPr="00474C64">
        <w:rPr>
          <w:sz w:val="18"/>
          <w:szCs w:val="18"/>
        </w:rPr>
        <w:t xml:space="preserve"> Voir le document 00 (introduction) sur les différentes manières de communiquer </w:t>
      </w:r>
      <w:r w:rsidR="00561AD4">
        <w:rPr>
          <w:sz w:val="18"/>
          <w:szCs w:val="18"/>
        </w:rPr>
        <w:t xml:space="preserve">à l’IBPT </w:t>
      </w:r>
      <w:r w:rsidRPr="00474C64">
        <w:rPr>
          <w:sz w:val="18"/>
          <w:szCs w:val="18"/>
        </w:rPr>
        <w:t xml:space="preserve">les </w:t>
      </w:r>
      <w:r w:rsidR="00561AD4">
        <w:rPr>
          <w:sz w:val="18"/>
          <w:szCs w:val="18"/>
        </w:rPr>
        <w:t>annexes à la lettre</w:t>
      </w:r>
      <w:r w:rsidRPr="00474C64">
        <w:rPr>
          <w:sz w:val="18"/>
          <w:szCs w:val="18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9A"/>
    <w:multiLevelType w:val="hybridMultilevel"/>
    <w:tmpl w:val="86A87C68"/>
    <w:lvl w:ilvl="0" w:tplc="68F84CE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93554"/>
    <w:multiLevelType w:val="hybridMultilevel"/>
    <w:tmpl w:val="7312D770"/>
    <w:lvl w:ilvl="0" w:tplc="4A52A582">
      <w:start w:val="1"/>
      <w:numFmt w:val="decimal"/>
      <w:pStyle w:val="Annexnumbering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D0CCA"/>
    <w:multiLevelType w:val="hybridMultilevel"/>
    <w:tmpl w:val="2B328E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E6F92"/>
    <w:multiLevelType w:val="hybridMultilevel"/>
    <w:tmpl w:val="E630772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11403"/>
    <w:multiLevelType w:val="multilevel"/>
    <w:tmpl w:val="67E657DE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1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D985F37"/>
    <w:multiLevelType w:val="multilevel"/>
    <w:tmpl w:val="47DC56E0"/>
    <w:lvl w:ilvl="0">
      <w:start w:val="1"/>
      <w:numFmt w:val="decimal"/>
      <w:pStyle w:val="Annex"/>
      <w:suff w:val="space"/>
      <w:lvlText w:val="Fiche %1"/>
      <w:lvlJc w:val="left"/>
      <w:pPr>
        <w:ind w:left="0" w:firstLine="0"/>
      </w:pPr>
      <w:rPr>
        <w:rFonts w:ascii="Tahoma" w:hAnsi="Tahoma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A19139C"/>
    <w:multiLevelType w:val="multilevel"/>
    <w:tmpl w:val="3AC63AAE"/>
    <w:numStyleLink w:val="Annexe"/>
  </w:abstractNum>
  <w:abstractNum w:abstractNumId="7" w15:restartNumberingAfterBreak="0">
    <w:nsid w:val="3B6967F8"/>
    <w:multiLevelType w:val="multilevel"/>
    <w:tmpl w:val="F5A07E5E"/>
    <w:lvl w:ilvl="0">
      <w:start w:val="1"/>
      <w:numFmt w:val="decimal"/>
      <w:pStyle w:val="Style1"/>
      <w:lvlText w:val="%1."/>
      <w:lvlJc w:val="left"/>
      <w:pPr>
        <w:ind w:left="829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sz w:val="20"/>
        <w:szCs w:val="2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603FA1"/>
    <w:multiLevelType w:val="hybridMultilevel"/>
    <w:tmpl w:val="91482230"/>
    <w:lvl w:ilvl="0" w:tplc="E7CC1EE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E4F82"/>
    <w:multiLevelType w:val="hybridMultilevel"/>
    <w:tmpl w:val="4A12F160"/>
    <w:lvl w:ilvl="0" w:tplc="04D60772">
      <w:start w:val="1"/>
      <w:numFmt w:val="bullet"/>
      <w:pStyle w:val="Normal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D4F67"/>
    <w:multiLevelType w:val="hybridMultilevel"/>
    <w:tmpl w:val="2DD0E66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82F4D"/>
    <w:multiLevelType w:val="multilevel"/>
    <w:tmpl w:val="080C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AFE1CE4"/>
    <w:multiLevelType w:val="multilevel"/>
    <w:tmpl w:val="3AC63AAE"/>
    <w:styleLink w:val="Annexe"/>
    <w:lvl w:ilvl="0">
      <w:start w:val="1"/>
      <w:numFmt w:val="decimal"/>
      <w:suff w:val="space"/>
      <w:lvlText w:val="Annexe %1"/>
      <w:lvlJc w:val="left"/>
      <w:pPr>
        <w:ind w:left="0" w:firstLine="0"/>
      </w:pPr>
      <w:rPr>
        <w:rFonts w:ascii="Tahoma" w:hAnsi="Tahoma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CA72B32"/>
    <w:multiLevelType w:val="hybridMultilevel"/>
    <w:tmpl w:val="F2C61F94"/>
    <w:lvl w:ilvl="0" w:tplc="CC569356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800D2A"/>
    <w:multiLevelType w:val="hybridMultilevel"/>
    <w:tmpl w:val="531A8230"/>
    <w:lvl w:ilvl="0" w:tplc="07769092">
      <w:start w:val="1"/>
      <w:numFmt w:val="decimal"/>
      <w:lvlText w:val="%1."/>
      <w:lvlJc w:val="left"/>
      <w:pPr>
        <w:ind w:left="794" w:hanging="79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pStyle w:val="Heading4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C3CA3"/>
    <w:multiLevelType w:val="hybridMultilevel"/>
    <w:tmpl w:val="5AB2C920"/>
    <w:lvl w:ilvl="0" w:tplc="664AA54E">
      <w:start w:val="1"/>
      <w:numFmt w:val="decimal"/>
      <w:pStyle w:val="Numberednormal"/>
      <w:lvlText w:val="%1."/>
      <w:lvlJc w:val="left"/>
      <w:pPr>
        <w:ind w:left="360" w:hanging="360"/>
      </w:pPr>
    </w:lvl>
    <w:lvl w:ilvl="1" w:tplc="10000019">
      <w:start w:val="1"/>
      <w:numFmt w:val="lowerLetter"/>
      <w:lvlText w:val="%2."/>
      <w:lvlJc w:val="left"/>
      <w:pPr>
        <w:ind w:left="1080" w:hanging="360"/>
      </w:pPr>
    </w:lvl>
    <w:lvl w:ilvl="2" w:tplc="1000001B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052C5F"/>
    <w:multiLevelType w:val="hybridMultilevel"/>
    <w:tmpl w:val="FF26FE0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C67F1"/>
    <w:multiLevelType w:val="hybridMultilevel"/>
    <w:tmpl w:val="D6783014"/>
    <w:lvl w:ilvl="0" w:tplc="30F6D58E">
      <w:start w:val="1"/>
      <w:numFmt w:val="bullet"/>
      <w:pStyle w:val="ListParagraph"/>
      <w:lvlText w:val="-"/>
      <w:lvlJc w:val="left"/>
      <w:pPr>
        <w:ind w:left="717" w:hanging="360"/>
      </w:pPr>
      <w:rPr>
        <w:rFonts w:ascii="Cambria" w:hAnsi="Cambria" w:hint="default"/>
      </w:rPr>
    </w:lvl>
    <w:lvl w:ilvl="1" w:tplc="08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67700818"/>
    <w:multiLevelType w:val="hybridMultilevel"/>
    <w:tmpl w:val="ED126984"/>
    <w:lvl w:ilvl="0" w:tplc="2A1E3BF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3508">
    <w:abstractNumId w:val="3"/>
  </w:num>
  <w:num w:numId="2" w16cid:durableId="966082527">
    <w:abstractNumId w:val="16"/>
  </w:num>
  <w:num w:numId="3" w16cid:durableId="246713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109348">
    <w:abstractNumId w:val="9"/>
  </w:num>
  <w:num w:numId="5" w16cid:durableId="371004752">
    <w:abstractNumId w:val="1"/>
  </w:num>
  <w:num w:numId="6" w16cid:durableId="1784643577">
    <w:abstractNumId w:val="15"/>
  </w:num>
  <w:num w:numId="7" w16cid:durableId="1972905981">
    <w:abstractNumId w:val="4"/>
  </w:num>
  <w:num w:numId="8" w16cid:durableId="1458064610">
    <w:abstractNumId w:val="4"/>
  </w:num>
  <w:num w:numId="9" w16cid:durableId="1336613061">
    <w:abstractNumId w:val="4"/>
  </w:num>
  <w:num w:numId="10" w16cid:durableId="1641155330">
    <w:abstractNumId w:val="14"/>
  </w:num>
  <w:num w:numId="11" w16cid:durableId="2083873069">
    <w:abstractNumId w:val="17"/>
  </w:num>
  <w:num w:numId="12" w16cid:durableId="5712397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72089">
    <w:abstractNumId w:val="9"/>
  </w:num>
  <w:num w:numId="14" w16cid:durableId="19623666">
    <w:abstractNumId w:val="1"/>
  </w:num>
  <w:num w:numId="15" w16cid:durableId="20938330">
    <w:abstractNumId w:val="15"/>
  </w:num>
  <w:num w:numId="16" w16cid:durableId="1911308249">
    <w:abstractNumId w:val="11"/>
  </w:num>
  <w:num w:numId="17" w16cid:durableId="565458695">
    <w:abstractNumId w:val="12"/>
  </w:num>
  <w:num w:numId="18" w16cid:durableId="74909958">
    <w:abstractNumId w:val="6"/>
  </w:num>
  <w:num w:numId="19" w16cid:durableId="1740783753">
    <w:abstractNumId w:val="5"/>
  </w:num>
  <w:num w:numId="20" w16cid:durableId="652760065">
    <w:abstractNumId w:val="2"/>
  </w:num>
  <w:num w:numId="21" w16cid:durableId="1116367694">
    <w:abstractNumId w:val="13"/>
  </w:num>
  <w:num w:numId="22" w16cid:durableId="143281163">
    <w:abstractNumId w:val="18"/>
  </w:num>
  <w:num w:numId="23" w16cid:durableId="1156652832">
    <w:abstractNumId w:val="0"/>
  </w:num>
  <w:num w:numId="24" w16cid:durableId="291719063">
    <w:abstractNumId w:val="8"/>
  </w:num>
  <w:num w:numId="25" w16cid:durableId="935021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A4"/>
    <w:rsid w:val="00007984"/>
    <w:rsid w:val="000964C0"/>
    <w:rsid w:val="001009BD"/>
    <w:rsid w:val="00177AF6"/>
    <w:rsid w:val="001C26DA"/>
    <w:rsid w:val="001D06C9"/>
    <w:rsid w:val="00220E13"/>
    <w:rsid w:val="00247EF4"/>
    <w:rsid w:val="00270C6B"/>
    <w:rsid w:val="00284658"/>
    <w:rsid w:val="002E5989"/>
    <w:rsid w:val="003641CE"/>
    <w:rsid w:val="0039499B"/>
    <w:rsid w:val="003D0293"/>
    <w:rsid w:val="003E15EC"/>
    <w:rsid w:val="003F4BF3"/>
    <w:rsid w:val="00413894"/>
    <w:rsid w:val="00443A9B"/>
    <w:rsid w:val="00474C64"/>
    <w:rsid w:val="004951C8"/>
    <w:rsid w:val="005351A4"/>
    <w:rsid w:val="00535AC9"/>
    <w:rsid w:val="00542D1A"/>
    <w:rsid w:val="00561AD4"/>
    <w:rsid w:val="00592687"/>
    <w:rsid w:val="005C1342"/>
    <w:rsid w:val="005E5757"/>
    <w:rsid w:val="005E6C5D"/>
    <w:rsid w:val="005F2DCC"/>
    <w:rsid w:val="0060217F"/>
    <w:rsid w:val="00617CB8"/>
    <w:rsid w:val="00651A03"/>
    <w:rsid w:val="00653D61"/>
    <w:rsid w:val="00700674"/>
    <w:rsid w:val="007046FE"/>
    <w:rsid w:val="00721A44"/>
    <w:rsid w:val="007225DB"/>
    <w:rsid w:val="00777B51"/>
    <w:rsid w:val="007906E4"/>
    <w:rsid w:val="007F7A66"/>
    <w:rsid w:val="008416FC"/>
    <w:rsid w:val="00843179"/>
    <w:rsid w:val="00843C03"/>
    <w:rsid w:val="00873FFC"/>
    <w:rsid w:val="00891123"/>
    <w:rsid w:val="008B68AB"/>
    <w:rsid w:val="008D3774"/>
    <w:rsid w:val="008F7147"/>
    <w:rsid w:val="009A5964"/>
    <w:rsid w:val="009B0203"/>
    <w:rsid w:val="009D1190"/>
    <w:rsid w:val="00A04DA8"/>
    <w:rsid w:val="00A907E6"/>
    <w:rsid w:val="00AC7347"/>
    <w:rsid w:val="00B563FC"/>
    <w:rsid w:val="00B85B23"/>
    <w:rsid w:val="00B9606A"/>
    <w:rsid w:val="00BD5640"/>
    <w:rsid w:val="00BE2034"/>
    <w:rsid w:val="00BE2CBA"/>
    <w:rsid w:val="00C45B34"/>
    <w:rsid w:val="00C96447"/>
    <w:rsid w:val="00D10293"/>
    <w:rsid w:val="00D16C6B"/>
    <w:rsid w:val="00D6245E"/>
    <w:rsid w:val="00DB720C"/>
    <w:rsid w:val="00DD68CD"/>
    <w:rsid w:val="00DE38E0"/>
    <w:rsid w:val="00E01AFE"/>
    <w:rsid w:val="00E339DA"/>
    <w:rsid w:val="00E45BFF"/>
    <w:rsid w:val="00E77E76"/>
    <w:rsid w:val="00E82390"/>
    <w:rsid w:val="00E90585"/>
    <w:rsid w:val="00E95220"/>
    <w:rsid w:val="00F708A4"/>
    <w:rsid w:val="00F7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D9EC"/>
  <w15:chartTrackingRefBased/>
  <w15:docId w15:val="{50A5C25B-023C-4302-8AB6-91FD24FF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6C9"/>
    <w:pPr>
      <w:spacing w:after="0" w:line="240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qFormat/>
    <w:rsid w:val="003D0293"/>
    <w:pPr>
      <w:keepLines/>
      <w:numPr>
        <w:numId w:val="9"/>
      </w:numPr>
      <w:spacing w:before="120"/>
      <w:outlineLvl w:val="0"/>
    </w:pPr>
    <w:rPr>
      <w:rFonts w:eastAsiaTheme="majorEastAsia" w:cstheme="majorBidi"/>
      <w:b/>
      <w:bCs/>
      <w:color w:val="292A8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D06C9"/>
    <w:pPr>
      <w:keepLines/>
      <w:numPr>
        <w:ilvl w:val="1"/>
        <w:numId w:val="9"/>
      </w:numPr>
      <w:tabs>
        <w:tab w:val="left" w:pos="0"/>
        <w:tab w:val="left" w:pos="794"/>
      </w:tabs>
      <w:spacing w:before="200" w:after="120"/>
      <w:ind w:left="0"/>
      <w:outlineLvl w:val="1"/>
    </w:pPr>
    <w:rPr>
      <w:rFonts w:eastAsiaTheme="majorEastAsia" w:cstheme="majorBidi"/>
      <w:b/>
      <w:bCs/>
      <w:color w:val="002060"/>
      <w:sz w:val="24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06C9"/>
    <w:pPr>
      <w:keepLines/>
      <w:numPr>
        <w:ilvl w:val="2"/>
        <w:numId w:val="9"/>
      </w:numPr>
      <w:tabs>
        <w:tab w:val="left" w:pos="794"/>
      </w:tabs>
      <w:spacing w:before="200"/>
      <w:outlineLvl w:val="2"/>
    </w:pPr>
    <w:rPr>
      <w:rFonts w:eastAsia="Times New Roman" w:cs="Times New Roman"/>
      <w:b/>
      <w:bCs/>
      <w:color w:val="00206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D06C9"/>
    <w:pPr>
      <w:keepLines/>
      <w:numPr>
        <w:ilvl w:val="3"/>
        <w:numId w:val="10"/>
      </w:numPr>
      <w:spacing w:before="360" w:after="120"/>
      <w:outlineLvl w:val="3"/>
    </w:pPr>
    <w:rPr>
      <w:rFonts w:eastAsia="Times New Roman" w:cs="Times New Roman"/>
      <w:b/>
      <w:bCs/>
      <w:iCs/>
      <w:color w:val="002060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6C9"/>
    <w:pPr>
      <w:keepNext/>
      <w:keepLines/>
      <w:spacing w:before="200" w:after="240"/>
      <w:ind w:left="3600"/>
      <w:outlineLvl w:val="5"/>
    </w:pPr>
    <w:rPr>
      <w:rFonts w:eastAsiaTheme="majorEastAsia" w:cstheme="majorBidi"/>
      <w:i/>
      <w:iCs/>
      <w:color w:val="125576" w:themeColor="accent1" w:themeShade="7F"/>
      <w:sz w:val="22"/>
      <w:lang w:val="fr-F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6C9"/>
    <w:pPr>
      <w:keepNext/>
      <w:keepLines/>
      <w:spacing w:before="200" w:after="240"/>
      <w:ind w:left="5040"/>
      <w:outlineLvl w:val="7"/>
    </w:pPr>
    <w:rPr>
      <w:rFonts w:eastAsiaTheme="majorEastAsia" w:cstheme="majorBidi"/>
      <w:color w:val="404040" w:themeColor="text1" w:themeTint="BF"/>
      <w:szCs w:val="20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6C9"/>
    <w:pPr>
      <w:keepNext/>
      <w:keepLines/>
      <w:spacing w:before="200" w:after="240"/>
      <w:ind w:left="5760"/>
      <w:outlineLvl w:val="8"/>
    </w:pPr>
    <w:rPr>
      <w:rFonts w:eastAsiaTheme="majorEastAsia" w:cstheme="majorBidi"/>
      <w:i/>
      <w:iCs/>
      <w:color w:val="404040" w:themeColor="text1" w:themeTint="BF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0293"/>
    <w:rPr>
      <w:rFonts w:ascii="Tahoma" w:eastAsiaTheme="majorEastAsia" w:hAnsi="Tahoma" w:cstheme="majorBidi"/>
      <w:b/>
      <w:bCs/>
      <w:color w:val="292A81"/>
      <w:sz w:val="28"/>
      <w:szCs w:val="28"/>
    </w:rPr>
  </w:style>
  <w:style w:type="paragraph" w:styleId="Title">
    <w:name w:val="Title"/>
    <w:basedOn w:val="Heading1"/>
    <w:next w:val="Normal"/>
    <w:link w:val="TitleChar"/>
    <w:uiPriority w:val="10"/>
    <w:qFormat/>
    <w:rsid w:val="001D06C9"/>
    <w:pPr>
      <w:numPr>
        <w:numId w:val="0"/>
      </w:numPr>
    </w:pPr>
  </w:style>
  <w:style w:type="character" w:customStyle="1" w:styleId="TitleChar">
    <w:name w:val="Title Char"/>
    <w:basedOn w:val="DefaultParagraphFont"/>
    <w:link w:val="Title"/>
    <w:uiPriority w:val="10"/>
    <w:rsid w:val="001D06C9"/>
    <w:rPr>
      <w:rFonts w:ascii="Tahoma" w:eastAsiaTheme="majorEastAsia" w:hAnsi="Tahoma" w:cstheme="majorBidi"/>
      <w:b/>
      <w:bCs/>
      <w:color w:val="292A8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D06C9"/>
    <w:rPr>
      <w:rFonts w:ascii="Tahoma" w:eastAsiaTheme="majorEastAsia" w:hAnsi="Tahoma" w:cstheme="majorBidi"/>
      <w:b/>
      <w:bCs/>
      <w:color w:val="002060"/>
      <w:sz w:val="24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644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6447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6447"/>
    <w:rPr>
      <w:vertAlign w:val="superscript"/>
    </w:rPr>
  </w:style>
  <w:style w:type="paragraph" w:styleId="ListParagraph">
    <w:name w:val="List Paragraph"/>
    <w:aliases w:val="List Bullet Ones,- Bullets,lp1,Paragr-1st,列出段落1,ÁÐ³ö¶ÎÂä1,¨¢D3?????1,¡§¡éD3?????1,?¡ì?¨¦D3?????1,??¨¬?¡§|D3?????1,??¡§???¡ì|D3?????1,???¡ì????¨¬|D3?????1,????¨¬????¡§?|D3?????1,????¡§??????¡ì?|D3?????1,?????¡ì???????¨¬?|D3?????1,列出段落"/>
    <w:basedOn w:val="Normal"/>
    <w:link w:val="ListParagraphChar"/>
    <w:uiPriority w:val="34"/>
    <w:qFormat/>
    <w:rsid w:val="001D06C9"/>
    <w:pPr>
      <w:keepLines/>
      <w:numPr>
        <w:numId w:val="11"/>
      </w:numPr>
      <w:contextualSpacing/>
    </w:pPr>
    <w:rPr>
      <w:rFonts w:cs="Arial"/>
      <w:noProof/>
      <w:szCs w:val="20"/>
      <w:lang w:eastAsia="fr-BE"/>
    </w:rPr>
  </w:style>
  <w:style w:type="paragraph" w:customStyle="1" w:styleId="Footnote">
    <w:name w:val="Footnote"/>
    <w:basedOn w:val="FootnoteText"/>
    <w:link w:val="FootnoteChar"/>
    <w:qFormat/>
    <w:rsid w:val="001D06C9"/>
    <w:pPr>
      <w:jc w:val="left"/>
    </w:pPr>
    <w:rPr>
      <w:rFonts w:ascii="Cambria" w:eastAsia="Times New Roman" w:hAnsi="Cambria" w:cs="Times New Roman"/>
      <w:sz w:val="18"/>
    </w:rPr>
  </w:style>
  <w:style w:type="character" w:customStyle="1" w:styleId="FootnoteChar">
    <w:name w:val="Footnote Char"/>
    <w:basedOn w:val="FootnoteTextChar"/>
    <w:link w:val="Footnote"/>
    <w:rsid w:val="001D06C9"/>
    <w:rPr>
      <w:rFonts w:ascii="Cambria" w:eastAsia="Times New Roman" w:hAnsi="Cambria" w:cs="Times New Roman"/>
      <w:sz w:val="18"/>
      <w:szCs w:val="20"/>
    </w:rPr>
  </w:style>
  <w:style w:type="paragraph" w:customStyle="1" w:styleId="pagnr">
    <w:name w:val="pag nr"/>
    <w:qFormat/>
    <w:rsid w:val="001D06C9"/>
    <w:pPr>
      <w:spacing w:after="0" w:line="240" w:lineRule="auto"/>
      <w:jc w:val="right"/>
    </w:pPr>
    <w:rPr>
      <w:rFonts w:ascii="Corbel" w:eastAsia="MS PGothic" w:hAnsi="Corbel" w:cs="Times New Roman"/>
      <w:color w:val="2E2F7F"/>
      <w:sz w:val="17"/>
      <w:szCs w:val="17"/>
      <w:lang w:val="en-GB"/>
      <w14:numForm w14:val="lining"/>
    </w:rPr>
  </w:style>
  <w:style w:type="paragraph" w:customStyle="1" w:styleId="Headerpage2">
    <w:name w:val="Header page 2"/>
    <w:basedOn w:val="Normal"/>
    <w:qFormat/>
    <w:rsid w:val="001D06C9"/>
    <w:pPr>
      <w:spacing w:after="120"/>
      <w:jc w:val="right"/>
    </w:pPr>
    <w:rPr>
      <w:rFonts w:eastAsiaTheme="minorEastAsia"/>
      <w:color w:val="292A81" w:themeColor="text2"/>
      <w:sz w:val="16"/>
      <w:szCs w:val="17"/>
      <w:lang w:val="nl-NL"/>
      <w14:numForm w14:val="lining"/>
    </w:rPr>
  </w:style>
  <w:style w:type="paragraph" w:customStyle="1" w:styleId="Style1">
    <w:name w:val="Style1"/>
    <w:basedOn w:val="Normal"/>
    <w:link w:val="Style1Car"/>
    <w:qFormat/>
    <w:rsid w:val="001D06C9"/>
    <w:pPr>
      <w:keepLines/>
      <w:numPr>
        <w:numId w:val="12"/>
      </w:numPr>
      <w:spacing w:before="240" w:after="240"/>
    </w:pPr>
    <w:rPr>
      <w:rFonts w:eastAsia="Times New Roman" w:cs="Times New Roman"/>
    </w:rPr>
  </w:style>
  <w:style w:type="character" w:customStyle="1" w:styleId="Style1Car">
    <w:name w:val="Style1 Car"/>
    <w:basedOn w:val="DefaultParagraphFont"/>
    <w:link w:val="Style1"/>
    <w:rsid w:val="001D06C9"/>
    <w:rPr>
      <w:rFonts w:ascii="Tahoma" w:eastAsia="Times New Roman" w:hAnsi="Tahoma" w:cs="Times New Roman"/>
      <w:sz w:val="20"/>
    </w:rPr>
  </w:style>
  <w:style w:type="paragraph" w:customStyle="1" w:styleId="Normalbullet">
    <w:name w:val="Normal + bullet"/>
    <w:basedOn w:val="ListParagraph"/>
    <w:link w:val="NormalbulletChar"/>
    <w:qFormat/>
    <w:rsid w:val="001D06C9"/>
    <w:pPr>
      <w:keepLines w:val="0"/>
      <w:numPr>
        <w:numId w:val="13"/>
      </w:numPr>
      <w:spacing w:before="120" w:after="120"/>
      <w:contextualSpacing w:val="0"/>
    </w:pPr>
    <w:rPr>
      <w:rFonts w:eastAsia="Times New Roman"/>
      <w:bCs/>
    </w:rPr>
  </w:style>
  <w:style w:type="character" w:customStyle="1" w:styleId="NormalbulletChar">
    <w:name w:val="Normal + bullet Char"/>
    <w:basedOn w:val="ListParagraphChar"/>
    <w:link w:val="Normalbullet"/>
    <w:rsid w:val="001D06C9"/>
    <w:rPr>
      <w:rFonts w:ascii="Tahoma" w:eastAsia="Times New Roman" w:hAnsi="Tahoma" w:cs="Arial"/>
      <w:bCs/>
      <w:noProof/>
      <w:sz w:val="20"/>
      <w:szCs w:val="20"/>
      <w:lang w:eastAsia="fr-BE"/>
    </w:rPr>
  </w:style>
  <w:style w:type="paragraph" w:customStyle="1" w:styleId="Annex">
    <w:name w:val="Annex"/>
    <w:basedOn w:val="Heading1"/>
    <w:link w:val="AnnexChar"/>
    <w:qFormat/>
    <w:rsid w:val="00D16C6B"/>
    <w:pPr>
      <w:pageBreakBefore/>
      <w:numPr>
        <w:numId w:val="19"/>
      </w:numPr>
      <w:spacing w:before="360" w:after="120"/>
    </w:pPr>
    <w:rPr>
      <w:rFonts w:eastAsia="Times New Roman" w:cs="Times New Roman"/>
    </w:rPr>
  </w:style>
  <w:style w:type="character" w:customStyle="1" w:styleId="AnnexChar">
    <w:name w:val="Annex Char"/>
    <w:basedOn w:val="Heading1Char"/>
    <w:link w:val="Annex"/>
    <w:rsid w:val="00D16C6B"/>
    <w:rPr>
      <w:rFonts w:ascii="Tahoma" w:eastAsia="Times New Roman" w:hAnsi="Tahoma" w:cs="Times New Roman"/>
      <w:b/>
      <w:bCs/>
      <w:color w:val="292A81"/>
      <w:sz w:val="28"/>
      <w:szCs w:val="28"/>
    </w:rPr>
  </w:style>
  <w:style w:type="paragraph" w:customStyle="1" w:styleId="Annexnumbering2">
    <w:name w:val="Annex numbering 2"/>
    <w:next w:val="Normal"/>
    <w:link w:val="Annexnumbering2Char"/>
    <w:qFormat/>
    <w:rsid w:val="001D06C9"/>
    <w:pPr>
      <w:numPr>
        <w:numId w:val="14"/>
      </w:numPr>
      <w:tabs>
        <w:tab w:val="left" w:pos="794"/>
      </w:tabs>
      <w:spacing w:before="240" w:after="120"/>
    </w:pPr>
    <w:rPr>
      <w:rFonts w:ascii="Tahoma" w:eastAsia="Times New Roman" w:hAnsi="Tahoma" w:cs="Times New Roman"/>
      <w:b/>
      <w:bCs/>
      <w:color w:val="002060"/>
      <w:sz w:val="20"/>
      <w:szCs w:val="26"/>
    </w:rPr>
  </w:style>
  <w:style w:type="character" w:customStyle="1" w:styleId="Annexnumbering2Char">
    <w:name w:val="Annex numbering 2 Char"/>
    <w:basedOn w:val="Heading3Char"/>
    <w:link w:val="Annexnumbering2"/>
    <w:rsid w:val="001D06C9"/>
    <w:rPr>
      <w:rFonts w:ascii="Tahoma" w:eastAsia="Times New Roman" w:hAnsi="Tahoma" w:cs="Times New Roman"/>
      <w:b/>
      <w:bCs/>
      <w:color w:val="002060"/>
      <w:sz w:val="20"/>
      <w:szCs w:val="26"/>
    </w:rPr>
  </w:style>
  <w:style w:type="paragraph" w:customStyle="1" w:styleId="Numberednormal">
    <w:name w:val="Numbered normal"/>
    <w:basedOn w:val="ListParagraph"/>
    <w:qFormat/>
    <w:rsid w:val="001D06C9"/>
    <w:pPr>
      <w:keepLines w:val="0"/>
      <w:numPr>
        <w:numId w:val="15"/>
      </w:numPr>
      <w:spacing w:before="120" w:after="240"/>
    </w:pPr>
    <w:rPr>
      <w:rFonts w:cstheme="minorBidi"/>
      <w:noProof w:val="0"/>
      <w:sz w:val="22"/>
      <w:szCs w:val="22"/>
      <w:lang w:val="nl-BE" w:eastAsia="fr-FR"/>
    </w:rPr>
  </w:style>
  <w:style w:type="paragraph" w:customStyle="1" w:styleId="QuoteBIPT">
    <w:name w:val="Quote_BIPT"/>
    <w:basedOn w:val="Normal"/>
    <w:link w:val="QuoteBIPTChar"/>
    <w:qFormat/>
    <w:rsid w:val="001D06C9"/>
    <w:pPr>
      <w:spacing w:before="120" w:after="120"/>
      <w:ind w:left="794"/>
    </w:pPr>
    <w:rPr>
      <w:rFonts w:eastAsia="Times New Roman" w:cs="Times New Roman"/>
      <w:i/>
      <w:iCs/>
      <w:lang w:val="en-US"/>
    </w:rPr>
  </w:style>
  <w:style w:type="character" w:customStyle="1" w:styleId="QuoteBIPTChar">
    <w:name w:val="Quote_BIPT Char"/>
    <w:basedOn w:val="DefaultParagraphFont"/>
    <w:link w:val="QuoteBIPT"/>
    <w:rsid w:val="001D06C9"/>
    <w:rPr>
      <w:rFonts w:ascii="Tahoma" w:eastAsia="Times New Roman" w:hAnsi="Tahoma" w:cs="Times New Roman"/>
      <w:i/>
      <w:iCs/>
      <w:sz w:val="20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1D06C9"/>
    <w:rPr>
      <w:rFonts w:ascii="Tahoma" w:eastAsia="Times New Roman" w:hAnsi="Tahoma" w:cs="Times New Roman"/>
      <w:b/>
      <w:bCs/>
      <w:color w:val="00206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1D06C9"/>
    <w:rPr>
      <w:rFonts w:ascii="Tahoma" w:eastAsia="Times New Roman" w:hAnsi="Tahoma" w:cs="Times New Roman"/>
      <w:b/>
      <w:bCs/>
      <w:iCs/>
      <w:color w:val="002060"/>
      <w:sz w:val="20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6C9"/>
    <w:rPr>
      <w:rFonts w:ascii="Tahoma" w:eastAsiaTheme="majorEastAsia" w:hAnsi="Tahoma" w:cstheme="majorBidi"/>
      <w:i/>
      <w:iCs/>
      <w:color w:val="125576" w:themeColor="accent1" w:themeShade="7F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6C9"/>
    <w:rPr>
      <w:rFonts w:ascii="Tahoma" w:eastAsiaTheme="majorEastAsia" w:hAnsi="Tahoma" w:cstheme="majorBidi"/>
      <w:color w:val="404040" w:themeColor="text1" w:themeTint="BF"/>
      <w:sz w:val="20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6C9"/>
    <w:rPr>
      <w:rFonts w:ascii="Tahoma" w:eastAsiaTheme="majorEastAsia" w:hAnsi="Tahoma" w:cstheme="majorBidi"/>
      <w:i/>
      <w:iCs/>
      <w:color w:val="404040" w:themeColor="text1" w:themeTint="BF"/>
      <w:sz w:val="20"/>
      <w:szCs w:val="20"/>
      <w:lang w:val="fr-FR"/>
    </w:rPr>
  </w:style>
  <w:style w:type="paragraph" w:styleId="TOC1">
    <w:name w:val="toc 1"/>
    <w:basedOn w:val="Normal"/>
    <w:next w:val="Normal"/>
    <w:autoRedefine/>
    <w:uiPriority w:val="39"/>
    <w:qFormat/>
    <w:rsid w:val="001D06C9"/>
    <w:pPr>
      <w:tabs>
        <w:tab w:val="right" w:leader="dot" w:pos="9628"/>
      </w:tabs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qFormat/>
    <w:rsid w:val="001D06C9"/>
    <w:pPr>
      <w:ind w:left="200"/>
    </w:pPr>
    <w:rPr>
      <w:rFonts w:eastAsia="Times New Roman" w:cs="Times New Roman"/>
      <w:spacing w:val="-5"/>
    </w:rPr>
  </w:style>
  <w:style w:type="paragraph" w:styleId="TOC3">
    <w:name w:val="toc 3"/>
    <w:basedOn w:val="Normal"/>
    <w:next w:val="Normal"/>
    <w:autoRedefine/>
    <w:uiPriority w:val="39"/>
    <w:qFormat/>
    <w:rsid w:val="001D06C9"/>
    <w:pPr>
      <w:ind w:left="400"/>
    </w:pPr>
    <w:rPr>
      <w:rFonts w:eastAsia="Times New Roman" w:cs="Times New Roman"/>
      <w:i/>
      <w:spacing w:val="-5"/>
    </w:rPr>
  </w:style>
  <w:style w:type="paragraph" w:styleId="Subtitle">
    <w:name w:val="Subtitle"/>
    <w:basedOn w:val="Normal"/>
    <w:next w:val="Normal"/>
    <w:link w:val="SubtitleChar"/>
    <w:qFormat/>
    <w:rsid w:val="001D06C9"/>
    <w:pPr>
      <w:keepLines/>
      <w:spacing w:after="360" w:line="276" w:lineRule="auto"/>
      <w:jc w:val="center"/>
    </w:pPr>
    <w:rPr>
      <w:rFonts w:eastAsia="Times New Roman" w:cs="Times New Roman"/>
      <w:b/>
      <w:snapToGrid w:val="0"/>
      <w:color w:val="324947"/>
      <w:sz w:val="52"/>
      <w:szCs w:val="24"/>
    </w:rPr>
  </w:style>
  <w:style w:type="character" w:customStyle="1" w:styleId="SubtitleChar">
    <w:name w:val="Subtitle Char"/>
    <w:basedOn w:val="DefaultParagraphFont"/>
    <w:link w:val="Subtitle"/>
    <w:rsid w:val="001D06C9"/>
    <w:rPr>
      <w:rFonts w:ascii="Tahoma" w:eastAsia="Times New Roman" w:hAnsi="Tahoma" w:cs="Times New Roman"/>
      <w:b/>
      <w:snapToGrid w:val="0"/>
      <w:color w:val="324947"/>
      <w:sz w:val="52"/>
      <w:szCs w:val="24"/>
    </w:rPr>
  </w:style>
  <w:style w:type="character" w:styleId="Strong">
    <w:name w:val="Strong"/>
    <w:basedOn w:val="DefaultParagraphFont"/>
    <w:uiPriority w:val="22"/>
    <w:qFormat/>
    <w:rsid w:val="001D06C9"/>
    <w:rPr>
      <w:b/>
      <w:bCs/>
    </w:rPr>
  </w:style>
  <w:style w:type="character" w:styleId="Emphasis">
    <w:name w:val="Emphasis"/>
    <w:basedOn w:val="DefaultParagraphFont"/>
    <w:uiPriority w:val="20"/>
    <w:qFormat/>
    <w:rsid w:val="001D06C9"/>
    <w:rPr>
      <w:i/>
      <w:iCs/>
    </w:rPr>
  </w:style>
  <w:style w:type="paragraph" w:styleId="NoSpacing">
    <w:name w:val="No Spacing"/>
    <w:uiPriority w:val="1"/>
    <w:qFormat/>
    <w:rsid w:val="001D06C9"/>
    <w:pPr>
      <w:spacing w:after="0" w:line="240" w:lineRule="auto"/>
      <w:jc w:val="both"/>
    </w:pPr>
    <w:rPr>
      <w:rFonts w:ascii="Tahoma" w:eastAsia="Times New Roman" w:hAnsi="Tahoma" w:cs="Times New Roman"/>
      <w:sz w:val="20"/>
    </w:rPr>
  </w:style>
  <w:style w:type="character" w:customStyle="1" w:styleId="ListParagraphChar">
    <w:name w:val="List Paragraph Char"/>
    <w:aliases w:val="List Bullet Ones Char,- Bullets Char,lp1 Char,Paragr-1st Char,列出段落1 Char,ÁÐ³ö¶ÎÂä1 Char,¨¢D3?????1 Char,¡§¡éD3?????1 Char,?¡ì?¨¦D3?????1 Char,??¨¬?¡§|D3?????1 Char,??¡§???¡ì|D3?????1 Char,???¡ì????¨¬|D3?????1 Char,列出段落 Char"/>
    <w:basedOn w:val="DefaultParagraphFont"/>
    <w:link w:val="ListParagraph"/>
    <w:uiPriority w:val="34"/>
    <w:rsid w:val="001D06C9"/>
    <w:rPr>
      <w:rFonts w:ascii="Tahoma" w:hAnsi="Tahoma" w:cs="Arial"/>
      <w:noProof/>
      <w:sz w:val="20"/>
      <w:szCs w:val="20"/>
      <w:lang w:eastAsia="fr-BE"/>
    </w:rPr>
  </w:style>
  <w:style w:type="paragraph" w:styleId="Quote">
    <w:name w:val="Quote"/>
    <w:aliases w:val="Figures_Table"/>
    <w:basedOn w:val="Normal"/>
    <w:next w:val="Normal"/>
    <w:link w:val="QuoteChar"/>
    <w:uiPriority w:val="29"/>
    <w:qFormat/>
    <w:rsid w:val="001D06C9"/>
    <w:pPr>
      <w:spacing w:before="200" w:after="160"/>
      <w:ind w:left="708" w:right="281"/>
    </w:pPr>
    <w:rPr>
      <w:rFonts w:eastAsia="Times New Roman" w:cs="Times New Roman"/>
      <w:i/>
      <w:iCs/>
      <w:color w:val="404040" w:themeColor="text1" w:themeTint="BF"/>
    </w:rPr>
  </w:style>
  <w:style w:type="character" w:customStyle="1" w:styleId="QuoteChar">
    <w:name w:val="Quote Char"/>
    <w:aliases w:val="Figures_Table Char"/>
    <w:basedOn w:val="DefaultParagraphFont"/>
    <w:link w:val="Quote"/>
    <w:uiPriority w:val="29"/>
    <w:rsid w:val="001D06C9"/>
    <w:rPr>
      <w:rFonts w:ascii="Tahoma" w:eastAsia="Times New Roman" w:hAnsi="Tahoma" w:cs="Times New Roman"/>
      <w:i/>
      <w:iCs/>
      <w:color w:val="404040" w:themeColor="text1" w:themeTint="BF"/>
      <w:sz w:val="20"/>
    </w:rPr>
  </w:style>
  <w:style w:type="table" w:styleId="TableGrid">
    <w:name w:val="Table Grid"/>
    <w:basedOn w:val="TableNormal"/>
    <w:uiPriority w:val="39"/>
    <w:rsid w:val="001D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1190"/>
    <w:rPr>
      <w:color w:val="32A8E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190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757"/>
    <w:pPr>
      <w:pBdr>
        <w:top w:val="single" w:sz="4" w:space="10" w:color="32A8E0" w:themeColor="accent1"/>
        <w:bottom w:val="single" w:sz="4" w:space="10" w:color="32A8E0" w:themeColor="accent1"/>
      </w:pBdr>
      <w:spacing w:before="360" w:after="360"/>
      <w:ind w:left="864" w:right="864"/>
      <w:jc w:val="center"/>
    </w:pPr>
    <w:rPr>
      <w:i/>
      <w:iCs/>
      <w:color w:val="32A8E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757"/>
    <w:rPr>
      <w:rFonts w:ascii="Tahoma" w:hAnsi="Tahoma"/>
      <w:i/>
      <w:iCs/>
      <w:color w:val="32A8E0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16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C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C6B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C6B"/>
    <w:rPr>
      <w:rFonts w:ascii="Tahoma" w:hAnsi="Tahoma"/>
      <w:b/>
      <w:bCs/>
      <w:sz w:val="20"/>
      <w:szCs w:val="20"/>
    </w:rPr>
  </w:style>
  <w:style w:type="numbering" w:customStyle="1" w:styleId="Annexe">
    <w:name w:val="Annexe"/>
    <w:uiPriority w:val="99"/>
    <w:rsid w:val="00D16C6B"/>
    <w:pPr>
      <w:numPr>
        <w:numId w:val="17"/>
      </w:numPr>
    </w:pPr>
  </w:style>
  <w:style w:type="character" w:styleId="IntenseReference">
    <w:name w:val="Intense Reference"/>
    <w:basedOn w:val="DefaultParagraphFont"/>
    <w:uiPriority w:val="32"/>
    <w:qFormat/>
    <w:rsid w:val="00843C03"/>
    <w:rPr>
      <w:b/>
      <w:bCs/>
      <w:smallCaps/>
      <w:color w:val="32A8E0" w:themeColor="accent1"/>
      <w:spacing w:val="5"/>
    </w:rPr>
  </w:style>
  <w:style w:type="paragraph" w:styleId="Revision">
    <w:name w:val="Revision"/>
    <w:hidden/>
    <w:uiPriority w:val="99"/>
    <w:semiHidden/>
    <w:rsid w:val="00443A9B"/>
    <w:pPr>
      <w:spacing w:after="0" w:line="240" w:lineRule="auto"/>
    </w:pPr>
    <w:rPr>
      <w:rFonts w:ascii="Tahoma" w:hAnsi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D102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293"/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unhideWhenUsed/>
    <w:rsid w:val="00D102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293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IPT-IBPT">
  <a:themeElements>
    <a:clrScheme name="IBPT Stijlgids 2">
      <a:dk1>
        <a:sysClr val="windowText" lastClr="000000"/>
      </a:dk1>
      <a:lt1>
        <a:sysClr val="window" lastClr="FFFFFF"/>
      </a:lt1>
      <a:dk2>
        <a:srgbClr val="292A81"/>
      </a:dk2>
      <a:lt2>
        <a:srgbClr val="E0EDFA"/>
      </a:lt2>
      <a:accent1>
        <a:srgbClr val="32A8E0"/>
      </a:accent1>
      <a:accent2>
        <a:srgbClr val="C73432"/>
      </a:accent2>
      <a:accent3>
        <a:srgbClr val="D06516"/>
      </a:accent3>
      <a:accent4>
        <a:srgbClr val="EAB80F"/>
      </a:accent4>
      <a:accent5>
        <a:srgbClr val="A1C049"/>
      </a:accent5>
      <a:accent6>
        <a:srgbClr val="53AAA7"/>
      </a:accent6>
      <a:hlink>
        <a:srgbClr val="32A8E0"/>
      </a:hlink>
      <a:folHlink>
        <a:srgbClr val="834B9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Published_x0020_To_x0020_Library xmlns="2b4b6fc7-bde4-44a8-8bca-a78eb25a27e9" xsi:nil="true"/>
    <d4ec9b080060429989fa5f940ee3f852 xmlns="2b4b6fc7-bde4-44a8-8bca-a78eb25a2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CTR Network Security</TermName>
          <TermId xmlns="http://schemas.microsoft.com/office/infopath/2007/PartnerControls">cbba48aa-be04-499a-a2a0-65c82be43c1c</TermId>
        </TermInfo>
      </Terms>
    </d4ec9b080060429989fa5f940ee3f852>
    <o3cf37d2a5d34fd7955003a053893e5e xmlns="2b4b6fc7-bde4-44a8-8bca-a78eb25a27e9">
      <Terms xmlns="http://schemas.microsoft.com/office/infopath/2007/PartnerControls"/>
    </o3cf37d2a5d34fd7955003a053893e5e>
    <Master_x0020_Id xmlns="2b4b6fc7-bde4-44a8-8bca-a78eb25a27e9" xsi:nil="true"/>
    <Dossier_x0020_Number xmlns="2b4b6fc7-bde4-44a8-8bca-a78eb25a27e9">2021-000560</Dossier_x0020_Number>
    <Version_x0020_Published_x0020_to_x0020_Internet xmlns="2b4b6fc7-bde4-44a8-8bca-a78eb25a27e9" xsi:nil="true"/>
    <abfcb1f17d5f4555baa428617776f0c1 xmlns="2b4b6fc7-bde4-44a8-8bca-a78eb25a27e9">
      <Terms xmlns="http://schemas.microsoft.com/office/infopath/2007/PartnerControls"/>
    </abfcb1f17d5f4555baa428617776f0c1>
    <TaxCatchAll xmlns="2b4b6fc7-bde4-44a8-8bca-a78eb25a27e9">
      <Value>88</Value>
    </TaxCatchAll>
    <QuickPartDocumentId xmlns="2b4b6fc7-bde4-44a8-8bca-a78eb25a27e9">DS23-1932324313-38</QuickPartDocumentId>
    <History_x0020_of_x0020_Remarks xmlns="2b4b6fc7-bde4-44a8-8bca-a78eb25a27e9" xsi:nil="true"/>
    <Administrative xmlns="2b4b6fc7-bde4-44a8-8bca-a78eb25a27e9">false</Administrative>
    <Confidential1 xmlns="2b4b6fc7-bde4-44a8-8bca-a78eb25a27e9">false</Confidential1>
    <_dlc_DocId xmlns="2b4b6fc7-bde4-44a8-8bca-a78eb25a27e9">DS23-1932324313-38</_dlc_DocId>
    <_dlc_DocIdUrl xmlns="2b4b6fc7-bde4-44a8-8bca-a78eb25a27e9">
      <Url>http://teamworkingspace.bipt.local/sites/dossiers2023/2/2023000195/_layouts/DocIdRedir.aspx?ID=DS23-1932324313-38</Url>
      <Description>DS23-1932324313-38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Add Dossier Service and Service Nr Eventhandler (Added)</Name>
    <Synchronization>Synchronous</Synchronization>
    <Type>10001</Type>
    <SequenceNumber>10030</SequenceNumber>
    <Assembly>BIPT.Ged, Version=1.0.0.0, Culture=neutral, PublicKeyToken=423c9e81cd84949a</Assembly>
    <Class>BIPT.Ged.EventReceivers.FillOutDossierServiceAndServiceNumber.FillOutDossierServiceAndServiceNumber</Class>
    <Data/>
    <Filter/>
  </Receiver>
  <Receiver>
    <Name>addin</Name>
    <Synchronization>Synchronous</Synchronization>
    <Type>1</Type>
    <SequenceNumber>10240</SequenceNumber>
    <Assembly>BIPT.Ged, Version=1.0.0.0, Culture=neutral, PublicKeyToken=423c9e81cd84949a</Assembly>
    <Class>BIPT.Ged.EventReceivers.FillOutDossierServiceAndServiceNumber.FillOutDossierServiceAndServiceNumber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ssier Document FR" ma:contentTypeID="0x0101004FA21861B553C741A1AA3F2E5831C1CC0507009B219235E488424E858FD5EE5506841D" ma:contentTypeVersion="66" ma:contentTypeDescription="Een nieuw document maken." ma:contentTypeScope="" ma:versionID="bedc4594671a1339b064741958dca358">
  <xsd:schema xmlns:xsd="http://www.w3.org/2001/XMLSchema" xmlns:xs="http://www.w3.org/2001/XMLSchema" xmlns:p="http://schemas.microsoft.com/office/2006/metadata/properties" xmlns:ns2="2b4b6fc7-bde4-44a8-8bca-a78eb25a27e9" targetNamespace="http://schemas.microsoft.com/office/2006/metadata/properties" ma:root="true" ma:fieldsID="f34b1f117e4202d833f96867d6683cd1" ns2:_="">
    <xsd:import namespace="2b4b6fc7-bde4-44a8-8bca-a78eb25a27e9"/>
    <xsd:element name="properties">
      <xsd:complexType>
        <xsd:sequence>
          <xsd:element name="documentManagement">
            <xsd:complexType>
              <xsd:all>
                <xsd:element ref="ns2:Dossier_x0020_Number" minOccurs="0"/>
                <xsd:element ref="ns2:History_x0020_of_x0020_Remarks" minOccurs="0"/>
                <xsd:element ref="ns2:Administrative" minOccurs="0"/>
                <xsd:element ref="ns2:Confidential1" minOccurs="0"/>
                <xsd:element ref="ns2:Version_x0020_Published_x0020_To_x0020_Library" minOccurs="0"/>
                <xsd:element ref="ns2:_dlc_DocIdUrl" minOccurs="0"/>
                <xsd:element ref="ns2:_dlc_DocIdPersistId" minOccurs="0"/>
                <xsd:element ref="ns2:abfcb1f17d5f4555baa428617776f0c1" minOccurs="0"/>
                <xsd:element ref="ns2:TaxCatchAllLabel" minOccurs="0"/>
                <xsd:element ref="ns2:d4ec9b080060429989fa5f940ee3f852" minOccurs="0"/>
                <xsd:element ref="ns2:TaxCatchAll" minOccurs="0"/>
                <xsd:element ref="ns2:o3cf37d2a5d34fd7955003a053893e5e" minOccurs="0"/>
                <xsd:element ref="ns2:_dlc_DocId" minOccurs="0"/>
                <xsd:element ref="ns2:Version_x0020_Published_x0020_to_x0020_Internet" minOccurs="0"/>
                <xsd:element ref="ns2:QuickPartDocumentId" minOccurs="0"/>
                <xsd:element ref="ns2:Master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b6fc7-bde4-44a8-8bca-a78eb25a27e9" elementFormDefault="qualified">
    <xsd:import namespace="http://schemas.microsoft.com/office/2006/documentManagement/types"/>
    <xsd:import namespace="http://schemas.microsoft.com/office/infopath/2007/PartnerControls"/>
    <xsd:element name="Dossier_x0020_Number" ma:index="5" nillable="true" ma:displayName="Dossier Number" ma:internalName="Dossier_x0020_Number">
      <xsd:simpleType>
        <xsd:restriction base="dms:Text">
          <xsd:maxLength value="255"/>
        </xsd:restriction>
      </xsd:simpleType>
    </xsd:element>
    <xsd:element name="History_x0020_of_x0020_Remarks" ma:index="6" nillable="true" ma:displayName="History of Remarks" ma:internalName="History_x0020_of_x0020_Remarks">
      <xsd:simpleType>
        <xsd:restriction base="dms:Note">
          <xsd:maxLength value="255"/>
        </xsd:restriction>
      </xsd:simpleType>
    </xsd:element>
    <xsd:element name="Administrative" ma:index="7" nillable="true" ma:displayName="Administrative" ma:default="0" ma:internalName="Administrative">
      <xsd:simpleType>
        <xsd:restriction base="dms:Boolean"/>
      </xsd:simpleType>
    </xsd:element>
    <xsd:element name="Confidential1" ma:index="8" nillable="true" ma:displayName="Confidential" ma:default="0" ma:internalName="Confidential1">
      <xsd:simpleType>
        <xsd:restriction base="dms:Boolean"/>
      </xsd:simpleType>
    </xsd:element>
    <xsd:element name="Version_x0020_Published_x0020_To_x0020_Library" ma:index="9" nillable="true" ma:displayName="Version Published to Library" ma:internalName="Version_x0020_Published_x0020_To_x0020_Library">
      <xsd:simpleType>
        <xsd:restriction base="dms:Text">
          <xsd:maxLength value="255"/>
        </xsd:restriction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bfcb1f17d5f4555baa428617776f0c1" ma:index="12" nillable="true" ma:taxonomy="true" ma:internalName="abfcb1f17d5f4555baa428617776f0c1" ma:taxonomyFieldName="Document_x0020_Type" ma:displayName="Document Type" ma:default="" ma:fieldId="{abfcb1f1-7d5f-4555-baa4-28617776f0c1}" ma:sspId="75b52628-4ae0-409d-b79e-6d0521b2c784" ma:termSetId="0add2e65-f722-4dcd-91e5-e26bd7158a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aacb5312-317a-4e89-849f-bd5396de7844}" ma:internalName="TaxCatchAllLabel" ma:readOnly="true" ma:showField="CatchAllDataLabel" ma:web="6fe064f4-4496-4e60-8ba9-88c589d5b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ec9b080060429989fa5f940ee3f852" ma:index="18" nillable="true" ma:taxonomy="true" ma:internalName="d4ec9b080060429989fa5f940ee3f852" ma:taxonomyFieldName="Service1" ma:displayName="Service" ma:readOnly="false" ma:default="" ma:fieldId="{d4ec9b08-0060-4299-89fa-5f940ee3f852}" ma:sspId="75b52628-4ae0-409d-b79e-6d0521b2c784" ma:termSetId="46b8dc2a-6372-4a7b-bdd4-6b0c5e7874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aacb5312-317a-4e89-849f-bd5396de7844}" ma:internalName="TaxCatchAll" ma:showField="CatchAllData" ma:web="6fe064f4-4496-4e60-8ba9-88c589d5b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cf37d2a5d34fd7955003a053893e5e" ma:index="20" nillable="true" ma:taxonomy="true" ma:internalName="o3cf37d2a5d34fd7955003a053893e5e" ma:taxonomyFieldName="Languages" ma:displayName="Languages" ma:default="" ma:fieldId="{83cf37d2-a5d3-4fd7-9550-03a053893e5e}" ma:taxonomyMulti="true" ma:sspId="75b52628-4ae0-409d-b79e-6d0521b2c784" ma:termSetId="af6d6fcf-919d-4606-93f6-1f52cad124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Version_x0020_Published_x0020_to_x0020_Internet" ma:index="24" nillable="true" ma:displayName="Version Published to Internet" ma:internalName="Version_x0020_Published_x0020_to_x0020_Internet">
      <xsd:simpleType>
        <xsd:restriction base="dms:Text">
          <xsd:maxLength value="255"/>
        </xsd:restriction>
      </xsd:simpleType>
    </xsd:element>
    <xsd:element name="QuickPartDocumentId" ma:index="25" nillable="true" ma:displayName="Doc Id" ma:internalName="QuickPartDocumentId" ma:readOnly="false">
      <xsd:simpleType>
        <xsd:restriction base="dms:Text">
          <xsd:maxLength value="255"/>
        </xsd:restriction>
      </xsd:simpleType>
    </xsd:element>
    <xsd:element name="Master_x0020_Id" ma:index="26" nillable="true" ma:displayName="Master Id" ma:internalName="Master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A24EF-526D-4F0A-8B32-705046F98759}"/>
</file>

<file path=customXml/itemProps2.xml><?xml version="1.0" encoding="utf-8"?>
<ds:datastoreItem xmlns:ds="http://schemas.openxmlformats.org/officeDocument/2006/customXml" ds:itemID="{705347AC-2E9F-4FC9-B316-33EAA35A63FC}"/>
</file>

<file path=customXml/itemProps3.xml><?xml version="1.0" encoding="utf-8"?>
<ds:datastoreItem xmlns:ds="http://schemas.openxmlformats.org/officeDocument/2006/customXml" ds:itemID="{F500FB5C-00E9-40D0-9A44-61462F415D77}"/>
</file>

<file path=customXml/itemProps4.xml><?xml version="1.0" encoding="utf-8"?>
<ds:datastoreItem xmlns:ds="http://schemas.openxmlformats.org/officeDocument/2006/customXml" ds:itemID="{BBD369E4-28A0-45A5-A096-22A7E97B0176}"/>
</file>

<file path=customXml/itemProps5.xml><?xml version="1.0" encoding="utf-8"?>
<ds:datastoreItem xmlns:ds="http://schemas.openxmlformats.org/officeDocument/2006/customXml" ds:itemID="{838A7AC7-6768-4A2B-ADFB-24979E5C3722}"/>
</file>

<file path=customXml/itemProps6.xml><?xml version="1.0" encoding="utf-8"?>
<ds:datastoreItem xmlns:ds="http://schemas.openxmlformats.org/officeDocument/2006/customXml" ds:itemID="{D6FBD6F8-CA0D-4F39-AE94-2E6395F205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001 - Partie 1 - Informations générales</vt:lpstr>
      <vt:lpstr>001 - Partie 1 - Informations générales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001 - Partie 1 - Informations générales</dc:title>
  <dc:subject/>
  <dc:creator>Pierre-François Vandenhaute</dc:creator>
  <cp:keywords/>
  <dc:description/>
  <cp:lastModifiedBy>Pierre-Yves Dethy</cp:lastModifiedBy>
  <cp:revision>23</cp:revision>
  <dcterms:created xsi:type="dcterms:W3CDTF">2022-12-29T09:33:00Z</dcterms:created>
  <dcterms:modified xsi:type="dcterms:W3CDTF">2023-05-15T21:38:00Z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0x0101004FA21861B553C741A1AA3F2E5831C1CC0507009B219235E488424E858FD5EE5506841D</vt:lpwstr>
  </property>
  <property fmtid="{D5CDD505-2E9C-101B-9397-08002B2CF9AE}" pid="3" name="Languages">
    <vt:lpwstr/>
  </property>
  <property fmtid="{D5CDD505-2E9C-101B-9397-08002B2CF9AE}" pid="4" name="Service1">
    <vt:lpwstr>88;#CTR Network Security|cbba48aa-be04-499a-a2a0-65c82be43c1c</vt:lpwstr>
  </property>
  <property fmtid="{D5CDD505-2E9C-101B-9397-08002B2CF9AE}" pid="5" name="_dlc_DocIdItemGuid">
    <vt:lpwstr>ee9ef52b-c109-400f-a573-7c1bbda041f2</vt:lpwstr>
  </property>
  <property fmtid="{D5CDD505-2E9C-101B-9397-08002B2CF9AE}" pid="6" name="p5514218fd064764993fc7f005d66e34">
    <vt:lpwstr/>
  </property>
  <property fmtid="{D5CDD505-2E9C-101B-9397-08002B2CF9AE}" pid="7" name="nd8a4f3b4df3473d8008d70ef4499b5e">
    <vt:lpwstr/>
  </property>
  <property fmtid="{D5CDD505-2E9C-101B-9397-08002B2CF9AE}" pid="8" name="Medium Type">
    <vt:lpwstr/>
  </property>
  <property fmtid="{D5CDD505-2E9C-101B-9397-08002B2CF9AE}" pid="9" name="Document Type">
    <vt:lpwstr/>
  </property>
  <property fmtid="{D5CDD505-2E9C-101B-9397-08002B2CF9AE}" pid="10" name="Answer or Initiative">
    <vt:lpwstr/>
  </property>
</Properties>
</file>