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FC7C" w14:textId="77777777" w:rsidR="005953BA" w:rsidRPr="005953BA" w:rsidRDefault="003E79C7" w:rsidP="003E79C7">
      <w:pPr>
        <w:pStyle w:val="Default"/>
        <w:numPr>
          <w:ilvl w:val="0"/>
          <w:numId w:val="1"/>
        </w:numPr>
        <w:rPr>
          <w:rFonts w:ascii="Tahoma" w:hAnsi="Tahoma" w:cs="Tahoma"/>
          <w:sz w:val="22"/>
          <w:szCs w:val="22"/>
        </w:rPr>
      </w:pPr>
      <w:r>
        <w:rPr>
          <w:rFonts w:ascii="Tahoma" w:hAnsi="Tahoma"/>
          <w:b/>
          <w:bCs/>
          <w:sz w:val="22"/>
          <w:szCs w:val="22"/>
        </w:rPr>
        <w:t xml:space="preserve">Objectif du formulaire </w:t>
      </w:r>
    </w:p>
    <w:p w14:paraId="123725CC" w14:textId="18403294" w:rsidR="005953BA" w:rsidRDefault="003E79C7" w:rsidP="005953BA">
      <w:pPr>
        <w:pStyle w:val="Default"/>
        <w:ind w:left="435"/>
        <w:rPr>
          <w:rFonts w:ascii="Tahoma" w:hAnsi="Tahoma" w:cs="Tahoma"/>
          <w:sz w:val="20"/>
          <w:szCs w:val="20"/>
        </w:rPr>
      </w:pPr>
      <w:r>
        <w:rPr>
          <w:rFonts w:ascii="Tahoma" w:hAnsi="Tahoma"/>
          <w:sz w:val="20"/>
          <w:szCs w:val="20"/>
        </w:rPr>
        <w:t>L’article 19 de l’arrêté royal du 27 avril 2007 relatif à la gestion de l'espace de numérotation national et à l’attribution et au retrait des droits d’utilisation de numéros (M.B. du 28 juin 2007) prévoit que : « </w:t>
      </w:r>
      <w:r>
        <w:rPr>
          <w:rFonts w:ascii="Tahoma" w:hAnsi="Tahoma"/>
          <w:i/>
          <w:iCs/>
          <w:sz w:val="20"/>
          <w:szCs w:val="20"/>
        </w:rPr>
        <w:t>La capacité de numérotation est seulement attribuée si pendant le délai de réservation la capacité de numérotation est effectivement mise en service pour les objectifs déclarés. La date de mise en service est communiquée par écrit à l'Institut au moins trois jours à l'avance.</w:t>
      </w:r>
      <w:r>
        <w:rPr>
          <w:rFonts w:ascii="Tahoma" w:hAnsi="Tahoma"/>
          <w:sz w:val="20"/>
          <w:szCs w:val="20"/>
        </w:rPr>
        <w:t xml:space="preserve"> » </w:t>
      </w:r>
    </w:p>
    <w:p w14:paraId="60C96A17" w14:textId="77777777" w:rsidR="005953BA" w:rsidRDefault="003E79C7" w:rsidP="005953BA">
      <w:pPr>
        <w:pStyle w:val="Default"/>
        <w:ind w:left="435"/>
        <w:rPr>
          <w:rFonts w:ascii="Tahoma" w:hAnsi="Tahoma" w:cs="Tahoma"/>
          <w:sz w:val="20"/>
          <w:szCs w:val="20"/>
        </w:rPr>
      </w:pPr>
      <w:r>
        <w:rPr>
          <w:rFonts w:ascii="Tahoma" w:hAnsi="Tahoma"/>
          <w:sz w:val="20"/>
          <w:szCs w:val="20"/>
        </w:rPr>
        <w:t xml:space="preserve">La mise en service de la capacité de numérotation dans ce contexte signifie que les numéros sont déjà mis en œuvre de sorte qu'ils puissent recevoir des appels/messages ou qu'ils soient utilisés pour établir des appels/messages entre autres en envoyant l'identification de la ligne appelante (CLI) ou encore qu'ils soient utilisés comme support pour l'acheminement de l'appel/du message (par ex. pour les codes « national signalling point »). </w:t>
      </w:r>
    </w:p>
    <w:p w14:paraId="6CF37074" w14:textId="06D2D1DB" w:rsidR="003E79C7" w:rsidRPr="003E79C7" w:rsidRDefault="003E79C7" w:rsidP="005953BA">
      <w:pPr>
        <w:pStyle w:val="Default"/>
        <w:ind w:left="435"/>
        <w:rPr>
          <w:rFonts w:ascii="Tahoma" w:hAnsi="Tahoma" w:cs="Tahoma"/>
          <w:sz w:val="22"/>
          <w:szCs w:val="22"/>
        </w:rPr>
      </w:pPr>
      <w:r>
        <w:rPr>
          <w:rFonts w:ascii="Tahoma" w:hAnsi="Tahoma"/>
          <w:sz w:val="20"/>
          <w:szCs w:val="20"/>
        </w:rPr>
        <w:t xml:space="preserve">Le présent formulaire a pour objectif d'appliquer de manière simple l'obligation légale de notification décrite ci-dessus. </w:t>
      </w:r>
      <w:r>
        <w:rPr>
          <w:rFonts w:ascii="Tahoma" w:hAnsi="Tahoma"/>
          <w:sz w:val="20"/>
          <w:szCs w:val="20"/>
        </w:rPr>
        <w:br/>
      </w:r>
    </w:p>
    <w:p w14:paraId="6ECAD120" w14:textId="77777777" w:rsidR="005953BA" w:rsidRPr="005953BA" w:rsidRDefault="003E79C7" w:rsidP="00A607E4">
      <w:pPr>
        <w:pStyle w:val="Default"/>
        <w:numPr>
          <w:ilvl w:val="0"/>
          <w:numId w:val="1"/>
        </w:numPr>
        <w:rPr>
          <w:rFonts w:ascii="Tahoma" w:hAnsi="Tahoma" w:cs="Tahoma"/>
          <w:sz w:val="22"/>
          <w:szCs w:val="22"/>
        </w:rPr>
      </w:pPr>
      <w:r>
        <w:rPr>
          <w:rFonts w:ascii="Tahoma" w:hAnsi="Tahoma"/>
          <w:b/>
          <w:bCs/>
          <w:sz w:val="22"/>
          <w:szCs w:val="22"/>
        </w:rPr>
        <w:t xml:space="preserve">À compléter par la partie qui souhaite une attribution </w:t>
      </w:r>
    </w:p>
    <w:p w14:paraId="27054849" w14:textId="4E8312F3" w:rsidR="005953BA" w:rsidRDefault="003E79C7" w:rsidP="005953BA">
      <w:pPr>
        <w:pStyle w:val="Default"/>
        <w:ind w:left="435"/>
        <w:rPr>
          <w:rFonts w:ascii="Tahoma" w:hAnsi="Tahoma" w:cs="Tahoma"/>
          <w:sz w:val="20"/>
          <w:szCs w:val="20"/>
        </w:rPr>
      </w:pPr>
      <w:r>
        <w:rPr>
          <w:rFonts w:ascii="Tahoma" w:hAnsi="Tahoma"/>
          <w:sz w:val="20"/>
          <w:szCs w:val="20"/>
        </w:rPr>
        <w:t xml:space="preserve">Nom de la partie qui souhaite une attribution : </w:t>
      </w:r>
      <w:r w:rsidR="001D1F89">
        <w:rPr>
          <w:rFonts w:ascii="Tahoma" w:hAnsi="Tahoma"/>
          <w:sz w:val="20"/>
          <w:szCs w:val="20"/>
        </w:rPr>
        <w:br/>
        <w:t xml:space="preserve">Numéro d’entreprise : </w:t>
      </w:r>
    </w:p>
    <w:p w14:paraId="403BEAC1" w14:textId="77777777" w:rsidR="005953BA" w:rsidRDefault="003E79C7" w:rsidP="005953BA">
      <w:pPr>
        <w:pStyle w:val="Default"/>
        <w:ind w:left="435"/>
        <w:rPr>
          <w:rFonts w:ascii="Tahoma" w:hAnsi="Tahoma" w:cs="Tahoma"/>
          <w:sz w:val="20"/>
          <w:szCs w:val="20"/>
        </w:rPr>
      </w:pPr>
      <w:r>
        <w:rPr>
          <w:rFonts w:ascii="Tahoma" w:hAnsi="Tahoma"/>
          <w:sz w:val="20"/>
          <w:szCs w:val="20"/>
        </w:rPr>
        <w:t xml:space="preserve">Type de capacité de numérotation (ex. : numéros géographiques) : </w:t>
      </w:r>
    </w:p>
    <w:p w14:paraId="2150B0AE" w14:textId="77777777" w:rsidR="005953BA" w:rsidRDefault="003E79C7" w:rsidP="005953BA">
      <w:pPr>
        <w:pStyle w:val="Default"/>
        <w:ind w:left="435"/>
        <w:rPr>
          <w:rFonts w:ascii="Tahoma" w:hAnsi="Tahoma" w:cs="Tahoma"/>
          <w:sz w:val="20"/>
          <w:szCs w:val="20"/>
        </w:rPr>
      </w:pPr>
      <w:r>
        <w:rPr>
          <w:rFonts w:ascii="Tahoma" w:hAnsi="Tahoma"/>
          <w:sz w:val="20"/>
          <w:szCs w:val="20"/>
        </w:rPr>
        <w:t xml:space="preserve">Indication de la capacité de numérotation et date de mise en service : </w:t>
      </w:r>
    </w:p>
    <w:p w14:paraId="522E0501" w14:textId="67CF070D" w:rsidR="003E79C7" w:rsidRPr="00853F53" w:rsidRDefault="003E79C7" w:rsidP="005953BA">
      <w:pPr>
        <w:pStyle w:val="Default"/>
        <w:ind w:left="435"/>
        <w:rPr>
          <w:rFonts w:ascii="Tahoma" w:hAnsi="Tahoma" w:cs="Tahoma"/>
          <w:sz w:val="22"/>
          <w:szCs w:val="22"/>
        </w:rPr>
      </w:pPr>
      <w:r>
        <w:rPr>
          <w:rFonts w:ascii="Tahoma" w:hAnsi="Tahoma"/>
          <w:sz w:val="20"/>
          <w:szCs w:val="20"/>
        </w:rPr>
        <w:t xml:space="preserve">Remarques (si nécessaire) : </w:t>
      </w:r>
      <w:r>
        <w:rPr>
          <w:rFonts w:ascii="Tahoma" w:hAnsi="Tahoma"/>
          <w:sz w:val="22"/>
          <w:szCs w:val="22"/>
        </w:rPr>
        <w:br/>
      </w:r>
    </w:p>
    <w:p w14:paraId="713F3620" w14:textId="77777777" w:rsidR="005953BA" w:rsidRPr="005953BA" w:rsidRDefault="003E79C7" w:rsidP="00A607E4">
      <w:pPr>
        <w:pStyle w:val="Default"/>
        <w:numPr>
          <w:ilvl w:val="0"/>
          <w:numId w:val="1"/>
        </w:numPr>
        <w:rPr>
          <w:rFonts w:ascii="Tahoma" w:hAnsi="Tahoma" w:cs="Tahoma"/>
          <w:sz w:val="22"/>
          <w:szCs w:val="22"/>
        </w:rPr>
      </w:pPr>
      <w:r>
        <w:rPr>
          <w:rFonts w:ascii="Tahoma" w:hAnsi="Tahoma"/>
          <w:b/>
          <w:bCs/>
          <w:sz w:val="22"/>
          <w:szCs w:val="22"/>
        </w:rPr>
        <w:t xml:space="preserve">Procédure </w:t>
      </w:r>
    </w:p>
    <w:p w14:paraId="4AC22E31" w14:textId="77777777" w:rsidR="005953BA" w:rsidRDefault="003E79C7" w:rsidP="005953BA">
      <w:pPr>
        <w:pStyle w:val="Default"/>
        <w:ind w:left="435"/>
        <w:rPr>
          <w:rFonts w:ascii="Tahoma" w:hAnsi="Tahoma" w:cs="Tahoma"/>
          <w:sz w:val="20"/>
          <w:szCs w:val="20"/>
        </w:rPr>
      </w:pPr>
      <w:r>
        <w:rPr>
          <w:rFonts w:ascii="Tahoma" w:hAnsi="Tahoma"/>
          <w:sz w:val="20"/>
          <w:szCs w:val="20"/>
        </w:rPr>
        <w:t xml:space="preserve">Le soussigné s'engage à informer immédiatement l'IBPT de toute modification qui aurait pour effet que la notification susmentionnée ne correspondrait plus à la réalité, ainsi que de toute cessation d'activités. Il déclare que toutes les données indiquées sur la/les page(s) précédente(s) sont correctes, complètes et conformes à la vérité. </w:t>
      </w:r>
    </w:p>
    <w:p w14:paraId="6BFFE137" w14:textId="77777777" w:rsidR="005953BA" w:rsidRDefault="003E79C7" w:rsidP="005953BA">
      <w:pPr>
        <w:pStyle w:val="Default"/>
        <w:ind w:left="435"/>
        <w:rPr>
          <w:rFonts w:ascii="Tahoma" w:hAnsi="Tahoma" w:cs="Tahoma"/>
          <w:sz w:val="20"/>
          <w:szCs w:val="20"/>
        </w:rPr>
      </w:pPr>
      <w:r>
        <w:rPr>
          <w:rFonts w:ascii="Tahoma" w:hAnsi="Tahoma"/>
          <w:sz w:val="20"/>
          <w:szCs w:val="20"/>
        </w:rPr>
        <w:br/>
        <w:t xml:space="preserve">Lieu et date </w:t>
      </w:r>
    </w:p>
    <w:p w14:paraId="4A851D7D" w14:textId="77777777" w:rsidR="005953BA" w:rsidRDefault="003E79C7" w:rsidP="005953BA">
      <w:pPr>
        <w:pStyle w:val="Default"/>
        <w:ind w:left="435"/>
        <w:rPr>
          <w:rFonts w:ascii="Tahoma" w:hAnsi="Tahoma" w:cs="Tahoma"/>
          <w:sz w:val="20"/>
          <w:szCs w:val="20"/>
        </w:rPr>
      </w:pPr>
      <w:r>
        <w:rPr>
          <w:rFonts w:ascii="Tahoma" w:hAnsi="Tahoma"/>
          <w:sz w:val="20"/>
          <w:szCs w:val="20"/>
        </w:rPr>
        <w:br/>
      </w:r>
      <w:r>
        <w:rPr>
          <w:rFonts w:ascii="Tahoma" w:hAnsi="Tahoma"/>
          <w:sz w:val="20"/>
          <w:szCs w:val="20"/>
        </w:rPr>
        <w:br/>
        <w:t xml:space="preserve">Nom </w:t>
      </w:r>
    </w:p>
    <w:p w14:paraId="3E42121E" w14:textId="77777777" w:rsidR="005953BA" w:rsidRDefault="003E79C7" w:rsidP="005953BA">
      <w:pPr>
        <w:pStyle w:val="Default"/>
        <w:ind w:left="435"/>
        <w:rPr>
          <w:rFonts w:ascii="Tahoma" w:hAnsi="Tahoma" w:cs="Tahoma"/>
          <w:sz w:val="20"/>
          <w:szCs w:val="20"/>
        </w:rPr>
      </w:pPr>
      <w:r>
        <w:rPr>
          <w:rFonts w:ascii="Tahoma" w:hAnsi="Tahoma"/>
          <w:sz w:val="20"/>
          <w:szCs w:val="20"/>
        </w:rPr>
        <w:br/>
      </w:r>
      <w:r>
        <w:rPr>
          <w:rFonts w:ascii="Tahoma" w:hAnsi="Tahoma"/>
          <w:sz w:val="20"/>
          <w:szCs w:val="20"/>
        </w:rPr>
        <w:br/>
        <w:t xml:space="preserve">Signature </w:t>
      </w:r>
    </w:p>
    <w:p w14:paraId="4A82E2BC" w14:textId="2B643495" w:rsidR="00A607E4" w:rsidRDefault="003E79C7" w:rsidP="005953BA">
      <w:pPr>
        <w:pStyle w:val="Default"/>
        <w:ind w:left="435"/>
        <w:rPr>
          <w:rFonts w:ascii="Tahoma" w:hAnsi="Tahoma" w:cs="Tahoma"/>
          <w:sz w:val="22"/>
          <w:szCs w:val="22"/>
        </w:rPr>
      </w:pPr>
      <w:r>
        <w:rPr>
          <w:rFonts w:ascii="Tahoma" w:hAnsi="Tahoma"/>
          <w:sz w:val="20"/>
          <w:szCs w:val="20"/>
        </w:rPr>
        <w:br/>
      </w:r>
    </w:p>
    <w:p w14:paraId="52DFC600" w14:textId="677EED68" w:rsidR="00543661" w:rsidRPr="00853F53" w:rsidRDefault="0015743A" w:rsidP="0015743A">
      <w:pPr>
        <w:pStyle w:val="Default"/>
        <w:tabs>
          <w:tab w:val="left" w:pos="2655"/>
        </w:tabs>
        <w:ind w:left="435"/>
        <w:rPr>
          <w:rFonts w:ascii="Tahoma" w:hAnsi="Tahoma" w:cs="Tahoma"/>
          <w:sz w:val="22"/>
          <w:szCs w:val="22"/>
        </w:rPr>
      </w:pPr>
      <w:r>
        <w:rPr>
          <w:rFonts w:ascii="Tahoma" w:hAnsi="Tahoma" w:cs="Tahoma"/>
          <w:sz w:val="22"/>
          <w:szCs w:val="22"/>
        </w:rPr>
        <w:tab/>
      </w:r>
    </w:p>
    <w:p w14:paraId="1A412B4E" w14:textId="77777777" w:rsidR="00A607E4" w:rsidRPr="003E79C7" w:rsidRDefault="00A607E4" w:rsidP="00A607E4">
      <w:pPr>
        <w:pStyle w:val="Default"/>
        <w:rPr>
          <w:rFonts w:ascii="Tahoma" w:hAnsi="Tahoma" w:cs="Tahoma"/>
          <w:sz w:val="22"/>
          <w:szCs w:val="22"/>
        </w:rPr>
      </w:pPr>
    </w:p>
    <w:p w14:paraId="5126FD1E" w14:textId="77777777" w:rsidR="003E79C7" w:rsidRPr="00853F53" w:rsidRDefault="003E79C7" w:rsidP="003E79C7">
      <w:pPr>
        <w:pStyle w:val="Default"/>
        <w:rPr>
          <w:rFonts w:ascii="Tahoma" w:hAnsi="Tahoma" w:cs="Tahoma"/>
          <w:sz w:val="20"/>
          <w:szCs w:val="20"/>
        </w:rPr>
      </w:pPr>
      <w:r>
        <w:rPr>
          <w:rFonts w:ascii="Tahoma" w:hAnsi="Tahoma"/>
          <w:sz w:val="20"/>
          <w:szCs w:val="20"/>
        </w:rPr>
        <w:t xml:space="preserve">Le présent formulaire peut être transmis </w:t>
      </w:r>
    </w:p>
    <w:p w14:paraId="46D1E27F" w14:textId="0837E6E5" w:rsidR="003E79C7" w:rsidRPr="00853F53" w:rsidRDefault="003E79C7" w:rsidP="003E79C7">
      <w:pPr>
        <w:pStyle w:val="Default"/>
        <w:rPr>
          <w:rFonts w:ascii="Tahoma" w:hAnsi="Tahoma" w:cs="Tahoma"/>
          <w:sz w:val="20"/>
          <w:szCs w:val="20"/>
        </w:rPr>
      </w:pPr>
      <w:r>
        <w:rPr>
          <w:rFonts w:ascii="Tahoma" w:hAnsi="Tahoma"/>
          <w:sz w:val="20"/>
          <w:szCs w:val="20"/>
        </w:rPr>
        <w:t xml:space="preserve">- par e-mail </w:t>
      </w:r>
      <w:r w:rsidR="00006A2E">
        <w:rPr>
          <w:rFonts w:ascii="Tahoma" w:hAnsi="Tahoma"/>
          <w:sz w:val="20"/>
          <w:szCs w:val="20"/>
        </w:rPr>
        <w:t xml:space="preserve">en </w:t>
      </w:r>
      <w:r w:rsidR="003656E2">
        <w:rPr>
          <w:rFonts w:ascii="Tahoma" w:hAnsi="Tahoma"/>
          <w:sz w:val="20"/>
          <w:szCs w:val="20"/>
        </w:rPr>
        <w:t>PDF</w:t>
      </w:r>
      <w:r>
        <w:rPr>
          <w:rFonts w:ascii="Tahoma" w:hAnsi="Tahoma"/>
          <w:sz w:val="20"/>
          <w:szCs w:val="20"/>
        </w:rPr>
        <w:t xml:space="preserve"> à : numbering@bipt.be </w:t>
      </w:r>
    </w:p>
    <w:p w14:paraId="7CEAFA40" w14:textId="77777777" w:rsidR="00A607E4" w:rsidRPr="00853F53" w:rsidRDefault="003E79C7" w:rsidP="003E79C7">
      <w:pPr>
        <w:pStyle w:val="Default"/>
        <w:rPr>
          <w:rFonts w:ascii="Tahoma" w:hAnsi="Tahoma" w:cs="Tahoma"/>
          <w:sz w:val="20"/>
          <w:szCs w:val="20"/>
        </w:rPr>
      </w:pPr>
      <w:r>
        <w:rPr>
          <w:rFonts w:ascii="Tahoma" w:hAnsi="Tahoma"/>
          <w:sz w:val="20"/>
          <w:szCs w:val="20"/>
        </w:rPr>
        <w:t xml:space="preserve">- par courrier à l’attention de : </w:t>
      </w:r>
    </w:p>
    <w:p w14:paraId="5D8F5A77" w14:textId="2844FD35" w:rsidR="00A907E6" w:rsidRDefault="00A607E4" w:rsidP="003E79C7">
      <w:r>
        <w:tab/>
        <w:t>IBPT - Service Numérotation</w:t>
      </w:r>
      <w:r>
        <w:br/>
      </w:r>
      <w:r>
        <w:tab/>
        <w:t>Boulevard du Roi Albert II 3</w:t>
      </w:r>
      <w:r w:rsidR="00543661">
        <w:t>2</w:t>
      </w:r>
      <w:r w:rsidR="00A8265B">
        <w:t xml:space="preserve"> boîte 1</w:t>
      </w:r>
      <w:r w:rsidR="00543661">
        <w:t>0</w:t>
      </w:r>
      <w:r>
        <w:br/>
      </w:r>
      <w:r>
        <w:tab/>
        <w:t>10</w:t>
      </w:r>
      <w:r w:rsidR="00543661">
        <w:t>0</w:t>
      </w:r>
      <w:r>
        <w:t>0 Bruxelles</w:t>
      </w:r>
    </w:p>
    <w:p w14:paraId="120B9C7E" w14:textId="3958DA9F" w:rsidR="00A8265B" w:rsidRDefault="00A8265B" w:rsidP="003E79C7"/>
    <w:p w14:paraId="547CE52E" w14:textId="77777777" w:rsidR="00543661" w:rsidRDefault="00543661" w:rsidP="003E79C7"/>
    <w:sectPr w:rsidR="00543661" w:rsidSect="00305BCE">
      <w:headerReference w:type="default" r:id="rId10"/>
      <w:footerReference w:type="defaul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21C6" w14:textId="77777777" w:rsidR="004E1966" w:rsidRDefault="004E1966" w:rsidP="00A607E4">
      <w:pPr>
        <w:spacing w:after="0" w:line="240" w:lineRule="auto"/>
      </w:pPr>
      <w:r>
        <w:separator/>
      </w:r>
    </w:p>
  </w:endnote>
  <w:endnote w:type="continuationSeparator" w:id="0">
    <w:p w14:paraId="20D0531C" w14:textId="77777777" w:rsidR="004E1966" w:rsidRDefault="004E1966" w:rsidP="00A6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DDEC" w14:textId="77777777" w:rsidR="003A3C4A" w:rsidRPr="00934DBA" w:rsidRDefault="003A3C4A" w:rsidP="003A3C4A">
    <w:pPr>
      <w:pStyle w:val="Footer"/>
      <w:rPr>
        <w:b/>
        <w:color w:val="292A81"/>
        <w:sz w:val="16"/>
      </w:rPr>
    </w:pPr>
    <w:r>
      <w:rPr>
        <w:b/>
        <w:color w:val="292A81"/>
        <w:sz w:val="16"/>
      </w:rPr>
      <w:t>Institut belge des services postaux et des télécommunications</w:t>
    </w:r>
  </w:p>
  <w:p w14:paraId="0658A824" w14:textId="35D723BE" w:rsidR="003A3C4A" w:rsidRPr="00934DBA" w:rsidRDefault="003A3C4A" w:rsidP="003A3C4A">
    <w:pPr>
      <w:pStyle w:val="Footer"/>
      <w:rPr>
        <w:color w:val="292A81"/>
        <w:sz w:val="16"/>
      </w:rPr>
    </w:pPr>
    <w:r>
      <w:rPr>
        <w:color w:val="292A81"/>
        <w:sz w:val="16"/>
      </w:rPr>
      <w:t>Service Numérotation | Boulevard du Roi Albert II 3</w:t>
    </w:r>
    <w:r w:rsidR="00543661">
      <w:rPr>
        <w:color w:val="292A81"/>
        <w:sz w:val="16"/>
      </w:rPr>
      <w:t>2</w:t>
    </w:r>
    <w:r w:rsidR="00A8265B">
      <w:rPr>
        <w:color w:val="292A81"/>
        <w:sz w:val="16"/>
      </w:rPr>
      <w:t xml:space="preserve"> boîte 1</w:t>
    </w:r>
    <w:r w:rsidR="00543661">
      <w:rPr>
        <w:color w:val="292A81"/>
        <w:sz w:val="16"/>
      </w:rPr>
      <w:t>0</w:t>
    </w:r>
    <w:r>
      <w:rPr>
        <w:color w:val="292A81"/>
        <w:sz w:val="16"/>
      </w:rPr>
      <w:t xml:space="preserve"> | 10</w:t>
    </w:r>
    <w:r w:rsidR="00543661">
      <w:rPr>
        <w:color w:val="292A81"/>
        <w:sz w:val="16"/>
      </w:rPr>
      <w:t>0</w:t>
    </w:r>
    <w:r>
      <w:rPr>
        <w:color w:val="292A81"/>
        <w:sz w:val="16"/>
      </w:rPr>
      <w:t>0 Bruxelles</w:t>
    </w:r>
  </w:p>
  <w:p w14:paraId="64293758" w14:textId="155B02D8" w:rsidR="00A607E4" w:rsidRPr="003A3C4A" w:rsidRDefault="003A3C4A" w:rsidP="003A3C4A">
    <w:pPr>
      <w:pStyle w:val="Footer"/>
      <w:tabs>
        <w:tab w:val="clear" w:pos="4536"/>
      </w:tabs>
      <w:rPr>
        <w:color w:val="292A81"/>
        <w:sz w:val="16"/>
      </w:rPr>
    </w:pPr>
    <w:r>
      <w:rPr>
        <w:b/>
        <w:color w:val="292A81"/>
        <w:sz w:val="16"/>
      </w:rPr>
      <w:t>T</w:t>
    </w:r>
    <w:r>
      <w:rPr>
        <w:color w:val="292A81"/>
        <w:sz w:val="16"/>
      </w:rPr>
      <w:t xml:space="preserve"> +32 2 226 88 88| </w:t>
    </w:r>
    <w:r>
      <w:rPr>
        <w:b/>
        <w:color w:val="292A81"/>
        <w:sz w:val="16"/>
      </w:rPr>
      <w:t>E</w:t>
    </w:r>
    <w:r>
      <w:rPr>
        <w:color w:val="292A81"/>
        <w:sz w:val="16"/>
      </w:rPr>
      <w:t xml:space="preserve"> numbering@bipt.be | </w:t>
    </w:r>
    <w:r>
      <w:rPr>
        <w:b/>
        <w:color w:val="292A81"/>
        <w:sz w:val="16"/>
      </w:rPr>
      <w:t>www.bipt.be</w:t>
    </w:r>
    <w:r>
      <w:rPr>
        <w:color w:val="292A81"/>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1EEC" w14:textId="77777777" w:rsidR="004E1966" w:rsidRDefault="004E1966" w:rsidP="00A607E4">
      <w:pPr>
        <w:spacing w:after="0" w:line="240" w:lineRule="auto"/>
      </w:pPr>
      <w:r>
        <w:separator/>
      </w:r>
    </w:p>
  </w:footnote>
  <w:footnote w:type="continuationSeparator" w:id="0">
    <w:p w14:paraId="4CACCFE9" w14:textId="77777777" w:rsidR="004E1966" w:rsidRDefault="004E1966" w:rsidP="00A6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22B0" w14:textId="05A5865E" w:rsidR="00AE4262" w:rsidRPr="00305BCE" w:rsidRDefault="00931746" w:rsidP="00305BCE">
    <w:pPr>
      <w:pStyle w:val="Title"/>
      <w:jc w:val="right"/>
      <w:rPr>
        <w:color w:val="292A81" w:themeColor="text2"/>
        <w:sz w:val="48"/>
        <w:szCs w:val="48"/>
      </w:rPr>
    </w:pPr>
    <w:r>
      <w:rPr>
        <w:noProof/>
      </w:rPr>
      <w:drawing>
        <wp:anchor distT="0" distB="0" distL="114300" distR="114300" simplePos="1" relativeHeight="251659264" behindDoc="0" locked="0" layoutInCell="1" allowOverlap="1" wp14:anchorId="3A207B99" wp14:editId="0F3CD073">
          <wp:simplePos x="19050" y="20320"/>
          <wp:positionH relativeFrom="page">
            <wp:posOffset>19050</wp:posOffset>
          </wp:positionH>
          <wp:positionV relativeFrom="paragraph">
            <wp:posOffset>20320</wp:posOffset>
          </wp:positionV>
          <wp:extent cx="1929130" cy="1294765"/>
          <wp:effectExtent l="0" t="0" r="0" b="0"/>
          <wp:wrapSquare wrapText="bothSides"/>
          <wp:docPr id="1834723373" name="Picture 1">
            <a:extLst xmlns:a="http://schemas.openxmlformats.org/drawingml/2006/main">
              <a:ext uri="{FF2B5EF4-FFF2-40B4-BE49-F238E27FC236}">
                <a16:creationId xmlns:a16="http://schemas.microsoft.com/office/drawing/2014/main" id="{3BCF32AB-82F1-4FD1-ADE3-C1419134AF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29565" name="Picture 6"/>
                  <pic:cNvPicPr>
                    <a:picLocks noChangeAspect="1" noChangeArrowheads="1"/>
                  </pic:cNvPicPr>
                </pic:nvPicPr>
                <pic:blipFill>
                  <a:blip r:embed="rId1"/>
                  <a:stretch>
                    <a:fillRect/>
                  </a:stretch>
                </pic:blipFill>
                <pic:spPr bwMode="auto">
                  <a:xfrm>
                    <a:off x="0" y="0"/>
                    <a:ext cx="1929130" cy="129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05BCE">
      <w:rPr>
        <w:color w:val="292A81" w:themeColor="text2"/>
        <w:sz w:val="48"/>
        <w:szCs w:val="48"/>
      </w:rPr>
      <w:t xml:space="preserve">Mise en </w:t>
    </w:r>
    <w:r w:rsidR="00476663">
      <w:rPr>
        <w:color w:val="292A81" w:themeColor="text2"/>
        <w:sz w:val="48"/>
        <w:szCs w:val="48"/>
      </w:rPr>
      <w:t>service</w:t>
    </w:r>
    <w:r w:rsidR="00305BCE">
      <w:rPr>
        <w:color w:val="292A81" w:themeColor="text2"/>
        <w:sz w:val="48"/>
        <w:szCs w:val="48"/>
      </w:rPr>
      <w:t xml:space="preserve"> d’un bloc de numéros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0D1"/>
    <w:multiLevelType w:val="hybridMultilevel"/>
    <w:tmpl w:val="96223360"/>
    <w:lvl w:ilvl="0" w:tplc="0813000F">
      <w:start w:val="1"/>
      <w:numFmt w:val="decimal"/>
      <w:lvlText w:val="%1."/>
      <w:lvlJc w:val="left"/>
      <w:pPr>
        <w:ind w:left="795" w:hanging="360"/>
      </w:pPr>
    </w:lvl>
    <w:lvl w:ilvl="1" w:tplc="08130019" w:tentative="1">
      <w:start w:val="1"/>
      <w:numFmt w:val="lowerLetter"/>
      <w:lvlText w:val="%2."/>
      <w:lvlJc w:val="left"/>
      <w:pPr>
        <w:ind w:left="1515" w:hanging="360"/>
      </w:pPr>
    </w:lvl>
    <w:lvl w:ilvl="2" w:tplc="0813001B" w:tentative="1">
      <w:start w:val="1"/>
      <w:numFmt w:val="lowerRoman"/>
      <w:lvlText w:val="%3."/>
      <w:lvlJc w:val="right"/>
      <w:pPr>
        <w:ind w:left="2235" w:hanging="180"/>
      </w:pPr>
    </w:lvl>
    <w:lvl w:ilvl="3" w:tplc="0813000F" w:tentative="1">
      <w:start w:val="1"/>
      <w:numFmt w:val="decimal"/>
      <w:lvlText w:val="%4."/>
      <w:lvlJc w:val="left"/>
      <w:pPr>
        <w:ind w:left="2955" w:hanging="360"/>
      </w:pPr>
    </w:lvl>
    <w:lvl w:ilvl="4" w:tplc="08130019" w:tentative="1">
      <w:start w:val="1"/>
      <w:numFmt w:val="lowerLetter"/>
      <w:lvlText w:val="%5."/>
      <w:lvlJc w:val="left"/>
      <w:pPr>
        <w:ind w:left="3675" w:hanging="360"/>
      </w:pPr>
    </w:lvl>
    <w:lvl w:ilvl="5" w:tplc="0813001B" w:tentative="1">
      <w:start w:val="1"/>
      <w:numFmt w:val="lowerRoman"/>
      <w:lvlText w:val="%6."/>
      <w:lvlJc w:val="right"/>
      <w:pPr>
        <w:ind w:left="4395" w:hanging="180"/>
      </w:pPr>
    </w:lvl>
    <w:lvl w:ilvl="6" w:tplc="0813000F" w:tentative="1">
      <w:start w:val="1"/>
      <w:numFmt w:val="decimal"/>
      <w:lvlText w:val="%7."/>
      <w:lvlJc w:val="left"/>
      <w:pPr>
        <w:ind w:left="5115" w:hanging="360"/>
      </w:pPr>
    </w:lvl>
    <w:lvl w:ilvl="7" w:tplc="08130019" w:tentative="1">
      <w:start w:val="1"/>
      <w:numFmt w:val="lowerLetter"/>
      <w:lvlText w:val="%8."/>
      <w:lvlJc w:val="left"/>
      <w:pPr>
        <w:ind w:left="5835" w:hanging="360"/>
      </w:pPr>
    </w:lvl>
    <w:lvl w:ilvl="8" w:tplc="0813001B" w:tentative="1">
      <w:start w:val="1"/>
      <w:numFmt w:val="lowerRoman"/>
      <w:lvlText w:val="%9."/>
      <w:lvlJc w:val="right"/>
      <w:pPr>
        <w:ind w:left="6555" w:hanging="180"/>
      </w:pPr>
    </w:lvl>
  </w:abstractNum>
  <w:abstractNum w:abstractNumId="1" w15:restartNumberingAfterBreak="0">
    <w:nsid w:val="1CAC1845"/>
    <w:multiLevelType w:val="hybridMultilevel"/>
    <w:tmpl w:val="9784397C"/>
    <w:lvl w:ilvl="0" w:tplc="DDBAE6A8">
      <w:start w:val="1"/>
      <w:numFmt w:val="decimal"/>
      <w:lvlText w:val="%1."/>
      <w:lvlJc w:val="left"/>
      <w:pPr>
        <w:ind w:left="435" w:hanging="360"/>
      </w:pPr>
      <w:rPr>
        <w:rFonts w:hint="default"/>
        <w:b/>
      </w:rPr>
    </w:lvl>
    <w:lvl w:ilvl="1" w:tplc="08130019" w:tentative="1">
      <w:start w:val="1"/>
      <w:numFmt w:val="lowerLetter"/>
      <w:lvlText w:val="%2."/>
      <w:lvlJc w:val="left"/>
      <w:pPr>
        <w:ind w:left="1155" w:hanging="360"/>
      </w:pPr>
    </w:lvl>
    <w:lvl w:ilvl="2" w:tplc="0813001B" w:tentative="1">
      <w:start w:val="1"/>
      <w:numFmt w:val="lowerRoman"/>
      <w:lvlText w:val="%3."/>
      <w:lvlJc w:val="right"/>
      <w:pPr>
        <w:ind w:left="1875" w:hanging="180"/>
      </w:pPr>
    </w:lvl>
    <w:lvl w:ilvl="3" w:tplc="0813000F" w:tentative="1">
      <w:start w:val="1"/>
      <w:numFmt w:val="decimal"/>
      <w:lvlText w:val="%4."/>
      <w:lvlJc w:val="left"/>
      <w:pPr>
        <w:ind w:left="2595" w:hanging="360"/>
      </w:pPr>
    </w:lvl>
    <w:lvl w:ilvl="4" w:tplc="08130019" w:tentative="1">
      <w:start w:val="1"/>
      <w:numFmt w:val="lowerLetter"/>
      <w:lvlText w:val="%5."/>
      <w:lvlJc w:val="left"/>
      <w:pPr>
        <w:ind w:left="3315" w:hanging="360"/>
      </w:pPr>
    </w:lvl>
    <w:lvl w:ilvl="5" w:tplc="0813001B" w:tentative="1">
      <w:start w:val="1"/>
      <w:numFmt w:val="lowerRoman"/>
      <w:lvlText w:val="%6."/>
      <w:lvlJc w:val="right"/>
      <w:pPr>
        <w:ind w:left="4035" w:hanging="180"/>
      </w:pPr>
    </w:lvl>
    <w:lvl w:ilvl="6" w:tplc="0813000F" w:tentative="1">
      <w:start w:val="1"/>
      <w:numFmt w:val="decimal"/>
      <w:lvlText w:val="%7."/>
      <w:lvlJc w:val="left"/>
      <w:pPr>
        <w:ind w:left="4755" w:hanging="360"/>
      </w:pPr>
    </w:lvl>
    <w:lvl w:ilvl="7" w:tplc="08130019" w:tentative="1">
      <w:start w:val="1"/>
      <w:numFmt w:val="lowerLetter"/>
      <w:lvlText w:val="%8."/>
      <w:lvlJc w:val="left"/>
      <w:pPr>
        <w:ind w:left="5475" w:hanging="360"/>
      </w:pPr>
    </w:lvl>
    <w:lvl w:ilvl="8" w:tplc="0813001B" w:tentative="1">
      <w:start w:val="1"/>
      <w:numFmt w:val="lowerRoman"/>
      <w:lvlText w:val="%9."/>
      <w:lvlJc w:val="right"/>
      <w:pPr>
        <w:ind w:left="6195" w:hanging="180"/>
      </w:pPr>
    </w:lvl>
  </w:abstractNum>
  <w:num w:numId="1" w16cid:durableId="1323776839">
    <w:abstractNumId w:val="1"/>
  </w:num>
  <w:num w:numId="2" w16cid:durableId="49560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C7"/>
    <w:rsid w:val="00006A2E"/>
    <w:rsid w:val="000E1726"/>
    <w:rsid w:val="000F3C24"/>
    <w:rsid w:val="0015743A"/>
    <w:rsid w:val="001D1F89"/>
    <w:rsid w:val="00270C6B"/>
    <w:rsid w:val="002C1CFE"/>
    <w:rsid w:val="00305BCE"/>
    <w:rsid w:val="003228B9"/>
    <w:rsid w:val="003656E2"/>
    <w:rsid w:val="00376034"/>
    <w:rsid w:val="0039499B"/>
    <w:rsid w:val="003A3C4A"/>
    <w:rsid w:val="003C0D96"/>
    <w:rsid w:val="003E79C7"/>
    <w:rsid w:val="00425C97"/>
    <w:rsid w:val="00431189"/>
    <w:rsid w:val="00476663"/>
    <w:rsid w:val="004C6352"/>
    <w:rsid w:val="004E1966"/>
    <w:rsid w:val="004E4AC2"/>
    <w:rsid w:val="004F3889"/>
    <w:rsid w:val="00535158"/>
    <w:rsid w:val="00543661"/>
    <w:rsid w:val="005953BA"/>
    <w:rsid w:val="00643196"/>
    <w:rsid w:val="00653D61"/>
    <w:rsid w:val="007B2E95"/>
    <w:rsid w:val="00853F53"/>
    <w:rsid w:val="00856071"/>
    <w:rsid w:val="008E2F66"/>
    <w:rsid w:val="0091440D"/>
    <w:rsid w:val="00931746"/>
    <w:rsid w:val="00A607E4"/>
    <w:rsid w:val="00A8265B"/>
    <w:rsid w:val="00A907E6"/>
    <w:rsid w:val="00AE4262"/>
    <w:rsid w:val="00B66EAC"/>
    <w:rsid w:val="00C45B34"/>
    <w:rsid w:val="00C751CA"/>
    <w:rsid w:val="00D6245E"/>
    <w:rsid w:val="00E539F9"/>
    <w:rsid w:val="00E81024"/>
    <w:rsid w:val="00FD30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86DDDF"/>
  <w15:chartTrackingRefBased/>
  <w15:docId w15:val="{603764E9-4B6A-44A5-9A0C-0D794198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61"/>
    <w:rPr>
      <w:rFonts w:ascii="Tahoma" w:hAnsi="Tahoma"/>
      <w:sz w:val="20"/>
    </w:rPr>
  </w:style>
  <w:style w:type="paragraph" w:styleId="Heading1">
    <w:name w:val="heading 1"/>
    <w:basedOn w:val="Normal"/>
    <w:next w:val="Normal"/>
    <w:link w:val="Heading1Char"/>
    <w:uiPriority w:val="9"/>
    <w:qFormat/>
    <w:rsid w:val="00A907E6"/>
    <w:pPr>
      <w:keepNext/>
      <w:keepLines/>
      <w:spacing w:before="240" w:after="0"/>
      <w:outlineLvl w:val="0"/>
    </w:pPr>
    <w:rPr>
      <w:rFonts w:eastAsiaTheme="majorEastAsia" w:cstheme="majorBidi"/>
      <w:color w:val="1B80B2" w:themeColor="accent1" w:themeShade="BF"/>
      <w:sz w:val="48"/>
      <w:szCs w:val="32"/>
    </w:rPr>
  </w:style>
  <w:style w:type="paragraph" w:styleId="Heading2">
    <w:name w:val="heading 2"/>
    <w:basedOn w:val="Normal"/>
    <w:next w:val="Normal"/>
    <w:link w:val="Heading2Ch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E6"/>
    <w:rPr>
      <w:rFonts w:ascii="Tahoma" w:eastAsiaTheme="majorEastAsia" w:hAnsi="Tahoma" w:cstheme="majorBidi"/>
      <w:color w:val="1B80B2" w:themeColor="accent1" w:themeShade="BF"/>
      <w:sz w:val="48"/>
      <w:szCs w:val="32"/>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paragraph" w:customStyle="1" w:styleId="Default">
    <w:name w:val="Default"/>
    <w:rsid w:val="003E79C7"/>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A607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07E4"/>
    <w:rPr>
      <w:rFonts w:ascii="Tahoma" w:hAnsi="Tahoma"/>
      <w:sz w:val="20"/>
    </w:rPr>
  </w:style>
  <w:style w:type="paragraph" w:styleId="Footer">
    <w:name w:val="footer"/>
    <w:basedOn w:val="Normal"/>
    <w:link w:val="FooterChar"/>
    <w:uiPriority w:val="99"/>
    <w:unhideWhenUsed/>
    <w:rsid w:val="00A607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07E4"/>
    <w:rPr>
      <w:rFonts w:ascii="Tahoma" w:hAnsi="Tahoma"/>
      <w:sz w:val="20"/>
    </w:rPr>
  </w:style>
  <w:style w:type="paragraph" w:styleId="BalloonText">
    <w:name w:val="Balloon Text"/>
    <w:basedOn w:val="Normal"/>
    <w:link w:val="BalloonTextChar"/>
    <w:uiPriority w:val="99"/>
    <w:semiHidden/>
    <w:unhideWhenUsed/>
    <w:rsid w:val="00AE4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95F6D-3E59-447B-BDB7-0D9EAA281D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913FA-1810-460D-BBD8-32A0816B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637BBD-DA6F-47AD-9E25-9F8A468E5096}">
  <ds:schemaRefs>
    <ds:schemaRef ds:uri="http://schemas.microsoft.com/sharepoint/v3/contenttype/forms"/>
  </ds:schemaRefs>
</ds:datastoreItem>
</file>

<file path=docMetadata/LabelInfo.xml><?xml version="1.0" encoding="utf-8"?>
<clbl:labelList xmlns:clbl="http://schemas.microsoft.com/office/2020/mipLabelMetadata">
  <clbl:label id="{0dad771a-936d-490b-9681-8ff00bb731f0}" enabled="0" method="" siteId="{0dad771a-936d-490b-9681-8ff00bb731f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0</Pages>
  <Words>0</Words>
  <Characters>0</Characters>
  <Application>Microsoft Office Word</Application>
  <DocSecurity>4</DocSecurity>
  <Lines>0</Lines>
  <Paragraphs>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Deschacht Ben</dc:creator>
  <cp:keywords/>
  <dc:description/>
  <cp:lastModifiedBy>Rein Coomans</cp:lastModifiedBy>
  <cp:revision>8</cp:revision>
  <dcterms:created xsi:type="dcterms:W3CDTF">2020-06-22T11:27:00Z</dcterms:created>
  <dcterms:modified xsi:type="dcterms:W3CDTF">2026-05-26T14:39:00Z</dcterms:modified>
</cp:coreProperties>
</file>